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4E" w:rsidRDefault="00AB514E">
      <w:pPr>
        <w:jc w:val="right"/>
        <w:rPr>
          <w:spacing w:val="-4"/>
          <w:sz w:val="28"/>
          <w:szCs w:val="28"/>
        </w:rPr>
      </w:pPr>
    </w:p>
    <w:p w:rsidR="00AB514E" w:rsidRDefault="001177F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итогах реализации в</w:t>
      </w:r>
    </w:p>
    <w:p w:rsidR="00AB514E" w:rsidRDefault="001177FD">
      <w:pPr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Ханты-Мансийском автономном округе – Югре </w:t>
      </w:r>
    </w:p>
    <w:p w:rsidR="00D638A4" w:rsidRDefault="001177FD" w:rsidP="00BC68B7">
      <w:pPr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государственной программы «Строит</w:t>
      </w:r>
      <w:r w:rsidR="00BC68B7">
        <w:rPr>
          <w:spacing w:val="-4"/>
          <w:sz w:val="28"/>
          <w:szCs w:val="28"/>
        </w:rPr>
        <w:t>ельство» за 9 месяцев 2024 года,</w:t>
      </w:r>
      <w:r w:rsidR="00BC68B7" w:rsidRPr="00BC68B7">
        <w:rPr>
          <w:spacing w:val="-4"/>
          <w:sz w:val="28"/>
          <w:szCs w:val="28"/>
        </w:rPr>
        <w:t xml:space="preserve"> </w:t>
      </w:r>
      <w:r w:rsidR="00BC68B7">
        <w:rPr>
          <w:spacing w:val="-4"/>
          <w:sz w:val="28"/>
          <w:szCs w:val="28"/>
        </w:rPr>
        <w:t xml:space="preserve">подготовленная Департаментом строительства и архитектуры </w:t>
      </w:r>
    </w:p>
    <w:p w:rsidR="00BC68B7" w:rsidRPr="00BC158A" w:rsidRDefault="00BC68B7" w:rsidP="00BC68B7">
      <w:pPr>
        <w:jc w:val="center"/>
        <w:rPr>
          <w:spacing w:val="-4"/>
          <w:sz w:val="28"/>
          <w:szCs w:val="28"/>
        </w:rPr>
      </w:pPr>
      <w:r w:rsidRPr="00BC158A">
        <w:rPr>
          <w:sz w:val="28"/>
          <w:szCs w:val="28"/>
        </w:rPr>
        <w:t>Ханты-Мансийского автономного округа – Югры</w:t>
      </w:r>
    </w:p>
    <w:p w:rsidR="00AB514E" w:rsidRDefault="00AB514E">
      <w:pPr>
        <w:ind w:firstLine="708"/>
        <w:jc w:val="both"/>
        <w:rPr>
          <w:sz w:val="28"/>
          <w:szCs w:val="28"/>
        </w:rPr>
      </w:pPr>
    </w:p>
    <w:p w:rsidR="00AB514E" w:rsidRDefault="001177FD">
      <w:pPr>
        <w:ind w:firstLine="567"/>
        <w:jc w:val="both"/>
      </w:pPr>
      <w:r>
        <w:rPr>
          <w:sz w:val="28"/>
          <w:szCs w:val="28"/>
        </w:rPr>
        <w:t xml:space="preserve">Государственная программа Ханты-Мансийского автономного </w:t>
      </w:r>
      <w:r>
        <w:rPr>
          <w:sz w:val="28"/>
          <w:szCs w:val="28"/>
        </w:rPr>
        <w:br/>
        <w:t>округа – Югры «Строительство» утверждена постановлением Правительства Ханты-Мансийского автономного округа – Югры от 10.11.2023 № 561-п (далее – государственная программа), действует с 01.01.2024.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 xml:space="preserve">Цели государственной программы: 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>увеличение годового объема ввода жилья до 1,582 млн. кв. метров к 2030 году;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>улучшение жилищных условий к 2030 году не менее 74,9 тыс. семей;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>обеспечение к 2030 году доступными и качественными жилищно-коммунального услугами;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граждан.</w:t>
      </w:r>
    </w:p>
    <w:p w:rsidR="00AB514E" w:rsidRDefault="001177FD">
      <w:pPr>
        <w:ind w:firstLine="567"/>
        <w:jc w:val="both"/>
      </w:pPr>
      <w:r>
        <w:rPr>
          <w:sz w:val="28"/>
          <w:szCs w:val="28"/>
        </w:rPr>
        <w:t>В структуре государственной программы 6 подпрограмм (направлений), включающих: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 региональных проекта,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 комплексов процессных мероприятий,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ведомственных проекта.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государственной программы: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жилищного строительства;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семей, улучшивших жилищные условия;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 автономного округа, обеспеченного качественной питьевой водой из систем централизованного водоснабжения;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энергоемкость валового регионального продукта автономного округа;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доля введенных в эксплуатацию объектов капитального строительства от запланированных к вводу в эксплуатацию в соответствующем году;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году.</w:t>
      </w:r>
    </w:p>
    <w:p w:rsidR="00AB514E" w:rsidRDefault="001177FD">
      <w:pPr>
        <w:ind w:firstLine="567"/>
        <w:jc w:val="both"/>
      </w:pPr>
      <w:r>
        <w:rPr>
          <w:rFonts w:eastAsia="Calibri"/>
          <w:sz w:val="28"/>
          <w:szCs w:val="28"/>
        </w:rPr>
        <w:t xml:space="preserve">В 2024 году объем финансирования государственной программы </w:t>
      </w:r>
      <w:r>
        <w:rPr>
          <w:sz w:val="28"/>
          <w:szCs w:val="28"/>
        </w:rPr>
        <w:t xml:space="preserve">за счет всех источников </w:t>
      </w:r>
      <w:r>
        <w:rPr>
          <w:rFonts w:eastAsia="Calibri"/>
          <w:sz w:val="28"/>
          <w:szCs w:val="28"/>
        </w:rPr>
        <w:t>составляет 70 816 711,6 тыс. рублей, в том числе за счет средств бюджета автономного округа - 55 641 241,6 тыс. рублей.</w:t>
      </w:r>
    </w:p>
    <w:p w:rsidR="00AB514E" w:rsidRDefault="001177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9 месяцев 2024 года расходные обязательства по государственной программе за счет всех источников финансирования </w:t>
      </w:r>
      <w:r>
        <w:rPr>
          <w:color w:val="000000" w:themeColor="text1"/>
          <w:sz w:val="28"/>
          <w:szCs w:val="28"/>
        </w:rPr>
        <w:t xml:space="preserve">исполнены на 40,4%  от </w:t>
      </w:r>
      <w:r>
        <w:rPr>
          <w:sz w:val="28"/>
          <w:szCs w:val="28"/>
        </w:rPr>
        <w:t xml:space="preserve">установленного плана на год, в том числе за счет средств бюджета автономного округа </w:t>
      </w:r>
      <w:r>
        <w:rPr>
          <w:spacing w:val="-4"/>
          <w:sz w:val="28"/>
          <w:szCs w:val="28"/>
        </w:rPr>
        <w:t>–</w:t>
      </w:r>
      <w:r>
        <w:rPr>
          <w:sz w:val="28"/>
          <w:szCs w:val="28"/>
        </w:rPr>
        <w:t xml:space="preserve"> 38,1% (таблица). </w:t>
      </w:r>
    </w:p>
    <w:p w:rsidR="00AB514E" w:rsidRDefault="00AB514E">
      <w:pPr>
        <w:jc w:val="center"/>
        <w:rPr>
          <w:rFonts w:eastAsia="Calibri"/>
          <w:sz w:val="28"/>
          <w:szCs w:val="28"/>
        </w:rPr>
      </w:pPr>
    </w:p>
    <w:p w:rsidR="00AB514E" w:rsidRDefault="001177F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Исполнение расходных обязательств </w:t>
      </w:r>
    </w:p>
    <w:p w:rsidR="00AB514E" w:rsidRDefault="001177F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государственной программе за 9 месяцев 2024 года</w:t>
      </w:r>
    </w:p>
    <w:p w:rsidR="00AB514E" w:rsidRDefault="001177FD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Таблица </w:t>
      </w:r>
    </w:p>
    <w:tbl>
      <w:tblPr>
        <w:tblStyle w:val="1b"/>
        <w:tblW w:w="90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2268"/>
        <w:gridCol w:w="1983"/>
        <w:gridCol w:w="1435"/>
      </w:tblGrid>
      <w:tr w:rsidR="00AB514E">
        <w:tc>
          <w:tcPr>
            <w:tcW w:w="3368" w:type="dxa"/>
            <w:vMerge w:val="restart"/>
            <w:vAlign w:val="center"/>
          </w:tcPr>
          <w:p w:rsidR="00AB514E" w:rsidRDefault="001177FD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2268" w:type="dxa"/>
            <w:vMerge w:val="restart"/>
            <w:vAlign w:val="center"/>
          </w:tcPr>
          <w:p w:rsidR="00AB514E" w:rsidRDefault="001177FD">
            <w:pPr>
              <w:jc w:val="center"/>
            </w:pPr>
            <w:r>
              <w:t xml:space="preserve">Объем финансирования на 2024 год, </w:t>
            </w:r>
            <w:r>
              <w:br/>
              <w:t>тыс. рублей</w:t>
            </w:r>
          </w:p>
        </w:tc>
        <w:tc>
          <w:tcPr>
            <w:tcW w:w="3418" w:type="dxa"/>
            <w:gridSpan w:val="2"/>
            <w:vAlign w:val="center"/>
          </w:tcPr>
          <w:p w:rsidR="00AB514E" w:rsidRDefault="001177FD">
            <w:pPr>
              <w:jc w:val="center"/>
            </w:pPr>
            <w:r>
              <w:t>Исполнено за 2024 год</w:t>
            </w:r>
          </w:p>
        </w:tc>
      </w:tr>
      <w:tr w:rsidR="00AB514E">
        <w:tc>
          <w:tcPr>
            <w:tcW w:w="3368" w:type="dxa"/>
            <w:vMerge/>
          </w:tcPr>
          <w:p w:rsidR="00AB514E" w:rsidRDefault="00AB514E">
            <w:pPr>
              <w:jc w:val="center"/>
            </w:pPr>
          </w:p>
        </w:tc>
        <w:tc>
          <w:tcPr>
            <w:tcW w:w="2268" w:type="dxa"/>
            <w:vMerge/>
          </w:tcPr>
          <w:p w:rsidR="00AB514E" w:rsidRDefault="00AB514E">
            <w:pPr>
              <w:jc w:val="center"/>
            </w:pPr>
          </w:p>
        </w:tc>
        <w:tc>
          <w:tcPr>
            <w:tcW w:w="1983" w:type="dxa"/>
            <w:vAlign w:val="center"/>
          </w:tcPr>
          <w:p w:rsidR="00AB514E" w:rsidRDefault="001177FD">
            <w:pPr>
              <w:jc w:val="center"/>
            </w:pPr>
            <w:r>
              <w:t>тыс. рублей</w:t>
            </w:r>
          </w:p>
        </w:tc>
        <w:tc>
          <w:tcPr>
            <w:tcW w:w="1435" w:type="dxa"/>
            <w:vAlign w:val="center"/>
          </w:tcPr>
          <w:p w:rsidR="00AB514E" w:rsidRDefault="001177FD">
            <w:pPr>
              <w:jc w:val="center"/>
            </w:pPr>
            <w:r>
              <w:t>% исполнения</w:t>
            </w:r>
          </w:p>
        </w:tc>
      </w:tr>
      <w:tr w:rsidR="00AB514E">
        <w:tc>
          <w:tcPr>
            <w:tcW w:w="3368" w:type="dxa"/>
          </w:tcPr>
          <w:p w:rsidR="00AB514E" w:rsidRDefault="001177FD">
            <w:r>
              <w:t>ВСЕГО</w:t>
            </w:r>
          </w:p>
        </w:tc>
        <w:tc>
          <w:tcPr>
            <w:tcW w:w="2268" w:type="dxa"/>
          </w:tcPr>
          <w:p w:rsidR="00AB514E" w:rsidRDefault="001177FD">
            <w:pPr>
              <w:jc w:val="right"/>
            </w:pPr>
            <w:r>
              <w:t>70 816 711,6</w:t>
            </w:r>
          </w:p>
        </w:tc>
        <w:tc>
          <w:tcPr>
            <w:tcW w:w="1983" w:type="dxa"/>
          </w:tcPr>
          <w:p w:rsidR="00AB514E" w:rsidRDefault="001177FD">
            <w:pPr>
              <w:jc w:val="right"/>
            </w:pPr>
            <w:r>
              <w:t>28 613 917,5</w:t>
            </w:r>
          </w:p>
        </w:tc>
        <w:tc>
          <w:tcPr>
            <w:tcW w:w="1435" w:type="dxa"/>
          </w:tcPr>
          <w:p w:rsidR="00AB514E" w:rsidRDefault="001177FD">
            <w:pPr>
              <w:jc w:val="right"/>
            </w:pPr>
            <w:r>
              <w:t>40,4</w:t>
            </w:r>
          </w:p>
        </w:tc>
      </w:tr>
      <w:tr w:rsidR="00AB514E">
        <w:trPr>
          <w:trHeight w:val="447"/>
        </w:trPr>
        <w:tc>
          <w:tcPr>
            <w:tcW w:w="3368" w:type="dxa"/>
          </w:tcPr>
          <w:p w:rsidR="00AB514E" w:rsidRDefault="001177FD">
            <w:r>
              <w:t>Бюджет автономного округа</w:t>
            </w:r>
          </w:p>
        </w:tc>
        <w:tc>
          <w:tcPr>
            <w:tcW w:w="2268" w:type="dxa"/>
          </w:tcPr>
          <w:p w:rsidR="00AB514E" w:rsidRDefault="001177FD">
            <w:pPr>
              <w:jc w:val="right"/>
            </w:pPr>
            <w:r>
              <w:t>55 641 241,6</w:t>
            </w:r>
          </w:p>
        </w:tc>
        <w:tc>
          <w:tcPr>
            <w:tcW w:w="1983" w:type="dxa"/>
          </w:tcPr>
          <w:p w:rsidR="00AB514E" w:rsidRDefault="001177FD">
            <w:pPr>
              <w:jc w:val="right"/>
            </w:pPr>
            <w:r>
              <w:t>21 178 197,2</w:t>
            </w:r>
          </w:p>
        </w:tc>
        <w:tc>
          <w:tcPr>
            <w:tcW w:w="1435" w:type="dxa"/>
          </w:tcPr>
          <w:p w:rsidR="00AB514E" w:rsidRDefault="001177FD">
            <w:pPr>
              <w:jc w:val="right"/>
            </w:pPr>
            <w:r>
              <w:t>38,1</w:t>
            </w:r>
          </w:p>
        </w:tc>
      </w:tr>
      <w:tr w:rsidR="00AB514E">
        <w:trPr>
          <w:trHeight w:val="447"/>
        </w:trPr>
        <w:tc>
          <w:tcPr>
            <w:tcW w:w="3368" w:type="dxa"/>
          </w:tcPr>
          <w:p w:rsidR="00AB514E" w:rsidRDefault="001177FD">
            <w:r>
              <w:t>в том числе межбюджетные трансферты из федерального бюджета</w:t>
            </w:r>
          </w:p>
        </w:tc>
        <w:tc>
          <w:tcPr>
            <w:tcW w:w="2268" w:type="dxa"/>
          </w:tcPr>
          <w:p w:rsidR="00AB514E" w:rsidRDefault="001177FD">
            <w:pPr>
              <w:jc w:val="right"/>
            </w:pPr>
            <w:r>
              <w:t>2 476 928,4</w:t>
            </w:r>
          </w:p>
        </w:tc>
        <w:tc>
          <w:tcPr>
            <w:tcW w:w="1983" w:type="dxa"/>
          </w:tcPr>
          <w:p w:rsidR="00AB514E" w:rsidRDefault="001177FD">
            <w:pPr>
              <w:jc w:val="right"/>
            </w:pPr>
            <w:r>
              <w:t>1 564 339,1</w:t>
            </w:r>
          </w:p>
        </w:tc>
        <w:tc>
          <w:tcPr>
            <w:tcW w:w="1435" w:type="dxa"/>
          </w:tcPr>
          <w:p w:rsidR="00AB514E" w:rsidRDefault="001177FD">
            <w:pPr>
              <w:jc w:val="right"/>
            </w:pPr>
            <w:r>
              <w:t>63,2</w:t>
            </w:r>
          </w:p>
        </w:tc>
      </w:tr>
      <w:tr w:rsidR="00AB514E">
        <w:trPr>
          <w:trHeight w:val="382"/>
        </w:trPr>
        <w:tc>
          <w:tcPr>
            <w:tcW w:w="3368" w:type="dxa"/>
            <w:vAlign w:val="center"/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2268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38 456 817,8</w:t>
            </w:r>
          </w:p>
        </w:tc>
        <w:tc>
          <w:tcPr>
            <w:tcW w:w="1983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12 695 161,8</w:t>
            </w:r>
          </w:p>
        </w:tc>
        <w:tc>
          <w:tcPr>
            <w:tcW w:w="1435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33,0</w:t>
            </w:r>
          </w:p>
        </w:tc>
      </w:tr>
      <w:tr w:rsidR="00AB514E">
        <w:trPr>
          <w:trHeight w:val="382"/>
        </w:trPr>
        <w:tc>
          <w:tcPr>
            <w:tcW w:w="3368" w:type="dxa"/>
            <w:vAlign w:val="center"/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4 613 608,2</w:t>
            </w:r>
          </w:p>
        </w:tc>
        <w:tc>
          <w:tcPr>
            <w:tcW w:w="1983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954 211,6</w:t>
            </w:r>
          </w:p>
        </w:tc>
        <w:tc>
          <w:tcPr>
            <w:tcW w:w="1435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20,7</w:t>
            </w:r>
          </w:p>
        </w:tc>
      </w:tr>
      <w:tr w:rsidR="00AB514E">
        <w:tc>
          <w:tcPr>
            <w:tcW w:w="3368" w:type="dxa"/>
            <w:vAlign w:val="center"/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2268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10 561 861,8</w:t>
            </w:r>
          </w:p>
        </w:tc>
        <w:tc>
          <w:tcPr>
            <w:tcW w:w="1983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6 481 508,7</w:t>
            </w:r>
          </w:p>
        </w:tc>
        <w:tc>
          <w:tcPr>
            <w:tcW w:w="1435" w:type="dxa"/>
            <w:vAlign w:val="center"/>
          </w:tcPr>
          <w:p w:rsidR="00AB514E" w:rsidRDefault="001177FD">
            <w:pPr>
              <w:jc w:val="right"/>
            </w:pPr>
            <w:r>
              <w:rPr>
                <w:color w:val="000000"/>
              </w:rPr>
              <w:t>61,4</w:t>
            </w:r>
          </w:p>
        </w:tc>
      </w:tr>
    </w:tbl>
    <w:p w:rsidR="00AB514E" w:rsidRDefault="00AB514E">
      <w:pPr>
        <w:ind w:firstLine="567"/>
        <w:jc w:val="both"/>
        <w:rPr>
          <w:rFonts w:eastAsia="Calibri"/>
          <w:sz w:val="28"/>
          <w:szCs w:val="28"/>
        </w:rPr>
      </w:pPr>
    </w:p>
    <w:p w:rsidR="00AB514E" w:rsidRDefault="001177FD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достижения поставленных целей по увеличение годового объема ввода жилья,  улучшению жилищных условий семей, строительству и капитальному ремонту объектов современной инфраструктуры за  9 месяцев 2024 года выполнены следующие мероприятия. </w:t>
      </w:r>
    </w:p>
    <w:p w:rsidR="00AB514E" w:rsidRPr="009F4191" w:rsidRDefault="001177FD">
      <w:pPr>
        <w:ind w:firstLine="567"/>
        <w:jc w:val="both"/>
      </w:pPr>
      <w:r w:rsidRPr="009F4191">
        <w:rPr>
          <w:rFonts w:eastAsiaTheme="minorHAnsi"/>
          <w:sz w:val="28"/>
          <w:szCs w:val="28"/>
          <w:lang w:eastAsia="en-US"/>
        </w:rPr>
        <w:t xml:space="preserve">По данным органов местного самоуправления автономного округа на территории Югры введено в эксплуатацию </w:t>
      </w:r>
      <w:r w:rsidR="002826FA" w:rsidRPr="009F4191">
        <w:rPr>
          <w:rFonts w:eastAsiaTheme="minorHAnsi"/>
          <w:sz w:val="28"/>
          <w:szCs w:val="28"/>
          <w:lang w:eastAsia="en-US"/>
        </w:rPr>
        <w:t>537,241</w:t>
      </w:r>
      <w:r w:rsidRPr="009F4191">
        <w:rPr>
          <w:rFonts w:eastAsiaTheme="minorHAnsi"/>
          <w:sz w:val="28"/>
          <w:szCs w:val="28"/>
          <w:lang w:eastAsia="en-US"/>
        </w:rPr>
        <w:t xml:space="preserve"> тыс. кв. м жилья, что составляет 5</w:t>
      </w:r>
      <w:r w:rsidR="002826FA" w:rsidRPr="009F4191">
        <w:rPr>
          <w:rFonts w:eastAsiaTheme="minorHAnsi"/>
          <w:sz w:val="28"/>
          <w:szCs w:val="28"/>
          <w:lang w:eastAsia="en-US"/>
        </w:rPr>
        <w:t>3</w:t>
      </w:r>
      <w:r w:rsidRPr="009F4191">
        <w:rPr>
          <w:rFonts w:eastAsiaTheme="minorHAnsi"/>
          <w:sz w:val="28"/>
          <w:szCs w:val="28"/>
          <w:lang w:eastAsia="en-US"/>
        </w:rPr>
        <w:t xml:space="preserve"> % от годового показателя (1 013,0 тыс. кв. м), в том числе </w:t>
      </w:r>
      <w:r w:rsidR="002826FA" w:rsidRPr="009F4191">
        <w:rPr>
          <w:rFonts w:eastAsiaTheme="minorHAnsi"/>
          <w:sz w:val="28"/>
          <w:szCs w:val="28"/>
          <w:lang w:eastAsia="en-US"/>
        </w:rPr>
        <w:t>252,265</w:t>
      </w:r>
      <w:r w:rsidRPr="009F4191">
        <w:rPr>
          <w:rFonts w:eastAsiaTheme="minorHAnsi"/>
          <w:sz w:val="28"/>
          <w:szCs w:val="28"/>
          <w:lang w:eastAsia="en-US"/>
        </w:rPr>
        <w:t xml:space="preserve"> тыс. кв. м введены за счет индивидуального жилищного строительства.</w:t>
      </w:r>
    </w:p>
    <w:p w:rsidR="00AB514E" w:rsidRPr="009F4191" w:rsidRDefault="001177FD">
      <w:pPr>
        <w:ind w:firstLine="567"/>
        <w:jc w:val="both"/>
        <w:rPr>
          <w:rFonts w:eastAsiaTheme="minorHAnsi"/>
          <w:sz w:val="28"/>
          <w:szCs w:val="28"/>
        </w:rPr>
      </w:pPr>
      <w:r w:rsidRPr="009F4191">
        <w:rPr>
          <w:rFonts w:eastAsiaTheme="minorHAnsi"/>
          <w:sz w:val="28"/>
          <w:szCs w:val="28"/>
          <w:lang w:eastAsia="en-US"/>
        </w:rPr>
        <w:t xml:space="preserve">По сравнению с аналогичным периодом 2023 года общий объем введенного жилья за январь-сентябрь 2024 года составил </w:t>
      </w:r>
      <w:r w:rsidR="009B3B42" w:rsidRPr="009F4191">
        <w:rPr>
          <w:rFonts w:eastAsiaTheme="minorHAnsi"/>
          <w:sz w:val="28"/>
          <w:szCs w:val="28"/>
          <w:lang w:eastAsia="en-US"/>
        </w:rPr>
        <w:t>104</w:t>
      </w:r>
      <w:r w:rsidR="007F5E76" w:rsidRPr="009F4191">
        <w:rPr>
          <w:rFonts w:eastAsiaTheme="minorHAnsi"/>
          <w:sz w:val="28"/>
          <w:szCs w:val="28"/>
          <w:lang w:eastAsia="en-US"/>
        </w:rPr>
        <w:t>,1</w:t>
      </w:r>
      <w:r w:rsidRPr="009F4191">
        <w:rPr>
          <w:rFonts w:eastAsiaTheme="minorHAnsi"/>
          <w:sz w:val="28"/>
          <w:szCs w:val="28"/>
          <w:lang w:eastAsia="en-US"/>
        </w:rPr>
        <w:t xml:space="preserve">%, индивидуального жилищного строительства </w:t>
      </w:r>
      <w:r w:rsidRPr="009F4191">
        <w:rPr>
          <w:spacing w:val="-4"/>
          <w:sz w:val="28"/>
          <w:szCs w:val="28"/>
        </w:rPr>
        <w:t>–</w:t>
      </w:r>
      <w:r w:rsidRPr="009F4191">
        <w:rPr>
          <w:rFonts w:eastAsiaTheme="minorHAnsi"/>
          <w:sz w:val="28"/>
          <w:szCs w:val="28"/>
          <w:lang w:eastAsia="en-US"/>
        </w:rPr>
        <w:t xml:space="preserve"> </w:t>
      </w:r>
      <w:r w:rsidR="009B3B42" w:rsidRPr="009F4191">
        <w:rPr>
          <w:rFonts w:eastAsiaTheme="minorHAnsi"/>
          <w:sz w:val="28"/>
          <w:szCs w:val="28"/>
          <w:lang w:eastAsia="en-US"/>
        </w:rPr>
        <w:t>112,3</w:t>
      </w:r>
      <w:r w:rsidRPr="009F4191">
        <w:rPr>
          <w:rFonts w:eastAsiaTheme="minorHAnsi"/>
          <w:sz w:val="28"/>
          <w:szCs w:val="28"/>
          <w:lang w:eastAsia="en-US"/>
        </w:rPr>
        <w:t>%.</w:t>
      </w:r>
    </w:p>
    <w:p w:rsidR="00AB514E" w:rsidRDefault="001177FD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9F4191">
        <w:rPr>
          <w:color w:val="000000" w:themeColor="text1"/>
          <w:sz w:val="28"/>
          <w:szCs w:val="28"/>
        </w:rPr>
        <w:t>Обеспечены финансированием 94 объекта капитального строительства, из них:</w:t>
      </w:r>
      <w:bookmarkStart w:id="0" w:name="_GoBack"/>
      <w:bookmarkEnd w:id="0"/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</w:t>
      </w:r>
      <w:r>
        <w:rPr>
          <w:sz w:val="28"/>
          <w:szCs w:val="28"/>
        </w:rPr>
        <w:t xml:space="preserve"> 85 объектам выполняются строительно-монтажных работы; 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</w:t>
      </w:r>
      <w:r>
        <w:rPr>
          <w:sz w:val="28"/>
          <w:szCs w:val="28"/>
        </w:rPr>
        <w:t xml:space="preserve"> 4 объектам выполняются проектно-изыскательские работы;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</w:t>
      </w:r>
      <w:r>
        <w:rPr>
          <w:sz w:val="28"/>
          <w:szCs w:val="28"/>
        </w:rPr>
        <w:t xml:space="preserve"> 5 объектам (школам, введенным в эксплуатацию в 2022-2023 годах) осуществляются платежи по концессионным соглашениям.</w:t>
      </w:r>
    </w:p>
    <w:p w:rsidR="00AB514E" w:rsidRDefault="001177FD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Введено в эксплуатацию 7 объектов: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«Врачебная амбулатория пгт. Луговой Кондинского района»,</w:t>
      </w:r>
      <w:r>
        <w:rPr>
          <w:sz w:val="28"/>
          <w:szCs w:val="28"/>
        </w:rPr>
        <w:br/>
        <w:t>мощность 40 пос. в смену/535м3;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«Врачебная амбулатория с дневным стационаром» с. Локосово Сургутского района Ханты-Мансийского автономного округа – Югры», мощность 25 пос. в смену/537м2;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«Бюджетное учреждение Ханты-Мансийского автономного округа - Югры «Березовская районная больница» Поликлиника», мощность 338 пос. в смену/1470м2;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«Корпус для Ханты-Мансийского технолого-педагогического колледжа», мощность 450 мест/10700 м2;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«Детский сад на 320 мест в квартале 21 (Стр. № 6) г.Нижневартовска», мощность 320 мест/7478м2;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«Реконструкция водоочистных сооружений с обследованием водозабора в г.п. Приобье, Ханты-Мансийского автономного округа - Югры, Тюменской области», мощность 200 куб. м/сут./11979м;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«Реконструкция комплексного центра социального обслуживания населения в г. Мегион», мощность 150 посещений/6128м2.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 году осуществляется проведение капитального ремонта 5 школ в г. Покачи, г. Югорск, г. Ханты-Мансийск, Кондинском, Ханты-Мансийском районах, из них по итогам 9 месяцев 2024 года по 3 школам работы завершены в полном объеме: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«МКОУ ХМР «СОШ п. Красноленинский», Ханты-Мансийский р-н, п. Красноленинский, ул. Школьная, д. 8;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«МАОУ СОШ № 2», г. Покачи, ул. Мира, д. 9;</w:t>
      </w:r>
    </w:p>
    <w:p w:rsidR="00AB514E" w:rsidRDefault="001177F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«МКОУ Куминская СОШ», Кондинский р-н, пгт. Куминский, ул. П.Морозова, д. 7.</w:t>
      </w:r>
    </w:p>
    <w:p w:rsidR="00AB514E" w:rsidRDefault="001177FD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образованиями за счет субсидий, предоставленных из бюджета автономного округа на реализацию полномочий в области строительства и жилищных отношений:</w:t>
      </w:r>
    </w:p>
    <w:p w:rsidR="00AB514E" w:rsidRDefault="001177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приобретены 556 жилых помещений общей площадью </w:t>
      </w:r>
      <w:r>
        <w:rPr>
          <w:color w:val="000000" w:themeColor="text1"/>
          <w:sz w:val="28"/>
          <w:szCs w:val="28"/>
          <w:highlight w:val="white"/>
        </w:rPr>
        <w:br/>
        <w:t>29 598,53 кв. м;</w:t>
      </w:r>
    </w:p>
    <w:p w:rsidR="00AB514E" w:rsidRDefault="001177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выплачены 285 семьям возмещения за изымаемые жилые помещения в связи с расселением из аварийного жилья;</w:t>
      </w:r>
    </w:p>
    <w:p w:rsidR="00AB514E" w:rsidRDefault="001177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снесены 166 объектов капитального строительства в целях освобождения земельных участков для жилищного строительства; </w:t>
      </w:r>
    </w:p>
    <w:p w:rsidR="00AB514E" w:rsidRDefault="001177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приспособлены 27 жилых помещений (места общего пользования в многоквартирных домах) для нужд инвалидов;</w:t>
      </w:r>
    </w:p>
    <w:p w:rsidR="00AB514E" w:rsidRDefault="001177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предоставлены субсидии 93 участникам специальной военной операции, состоящим на учете в качестве нуждающихся в улучшении жилищных условий;</w:t>
      </w:r>
    </w:p>
    <w:p w:rsidR="00AB514E" w:rsidRDefault="001177FD">
      <w:pP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переселены в первоочередном порядке 96 участников специальной военной операции, члены их семей из жилых помещений, расположенных в жилых домах, признанных аварийными.</w:t>
      </w:r>
    </w:p>
    <w:p w:rsidR="00AB514E" w:rsidRDefault="001177FD">
      <w:pPr>
        <w:ind w:firstLine="709"/>
        <w:jc w:val="both"/>
      </w:pPr>
      <w:r>
        <w:rPr>
          <w:sz w:val="28"/>
          <w:szCs w:val="28"/>
        </w:rPr>
        <w:t>По темпам расселения аварийного жилищного фонда Югра сохраняет лидирующие позиции  среди субъектов Российской Федерации.</w:t>
      </w:r>
    </w:p>
    <w:p w:rsidR="00AB514E" w:rsidRDefault="001177FD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lastRenderedPageBreak/>
        <w:t>Государственную поддержку на приобретение (строительство) жилья получили 19 964 семьи, из них: 18850 семей</w:t>
      </w:r>
      <w:r>
        <w:rPr>
          <w:color w:val="000000" w:themeColor="text1"/>
          <w:sz w:val="28"/>
          <w:szCs w:val="28"/>
          <w:highlight w:val="white"/>
          <w:lang w:eastAsia="en-US"/>
        </w:rPr>
        <w:t xml:space="preserve"> - компенсацию части процентной ставки по ипотечным кредитам (займам)</w:t>
      </w:r>
      <w:r>
        <w:rPr>
          <w:color w:val="000000" w:themeColor="text1"/>
          <w:sz w:val="28"/>
          <w:szCs w:val="28"/>
          <w:highlight w:val="white"/>
        </w:rPr>
        <w:t>, 1114 семей -  социальные выплаты, субсидии.</w:t>
      </w:r>
    </w:p>
    <w:p w:rsidR="00AB514E" w:rsidRDefault="001177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Восстановлены права 150 пострадавших граждан – дольщиков 2 проблемных объектов (один проблемный объект введен в эксплуатацию, дольщикам второго объекта предоставлены выплаты).</w:t>
      </w:r>
    </w:p>
    <w:p w:rsidR="00AB514E" w:rsidRDefault="001177F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Информация о результатах и объемах финансирования государственной программы «Строительство» в разрезе подпрограмм и мероприятий за 9 месяцев 2024 года представлена в приложении. </w:t>
      </w:r>
    </w:p>
    <w:p w:rsidR="00AB514E" w:rsidRDefault="001177FD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>Уровень достижения показателей государственной программы за 2024 год будет определен по итогам года.</w:t>
      </w:r>
    </w:p>
    <w:p w:rsidR="00AB514E" w:rsidRDefault="00AB514E">
      <w:pPr>
        <w:jc w:val="right"/>
        <w:rPr>
          <w:sz w:val="28"/>
          <w:szCs w:val="28"/>
        </w:rPr>
      </w:pPr>
    </w:p>
    <w:p w:rsidR="00AB514E" w:rsidRDefault="00AB514E">
      <w:pPr>
        <w:jc w:val="right"/>
        <w:rPr>
          <w:sz w:val="28"/>
          <w:szCs w:val="28"/>
        </w:rPr>
        <w:sectPr w:rsidR="00AB514E" w:rsidSect="00CB6489">
          <w:headerReference w:type="default" r:id="rId9"/>
          <w:footerReference w:type="default" r:id="rId10"/>
          <w:pgSz w:w="11906" w:h="16838"/>
          <w:pgMar w:top="1418" w:right="1276" w:bottom="1134" w:left="1559" w:header="709" w:footer="709" w:gutter="0"/>
          <w:cols w:space="708"/>
          <w:titlePg/>
          <w:docGrid w:linePitch="360"/>
        </w:sectPr>
      </w:pPr>
    </w:p>
    <w:p w:rsidR="00AB514E" w:rsidRDefault="001177FD">
      <w:pPr>
        <w:ind w:firstLine="709"/>
        <w:jc w:val="right"/>
        <w:rPr>
          <w:sz w:val="28"/>
          <w:szCs w:val="28"/>
          <w:highlight w:val="white"/>
        </w:rPr>
      </w:pPr>
      <w:r>
        <w:rPr>
          <w:sz w:val="28"/>
          <w:szCs w:val="28"/>
        </w:rPr>
        <w:lastRenderedPageBreak/>
        <w:t>Приложение</w:t>
      </w:r>
    </w:p>
    <w:p w:rsidR="00AB514E" w:rsidRDefault="00AB514E">
      <w:pPr>
        <w:ind w:firstLine="709"/>
        <w:jc w:val="both"/>
        <w:rPr>
          <w:sz w:val="28"/>
          <w:szCs w:val="28"/>
        </w:rPr>
      </w:pPr>
    </w:p>
    <w:p w:rsidR="00AB514E" w:rsidRDefault="001177FD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Информация о результатах и объемах финансирования государственной программы «Строительство» в разрезе подпрограмм и мероприятий за 9 месяцев 2024 года</w:t>
      </w:r>
    </w:p>
    <w:p w:rsidR="00AB514E" w:rsidRDefault="00AB514E">
      <w:pPr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Style w:val="aff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0"/>
        <w:gridCol w:w="1559"/>
        <w:gridCol w:w="1559"/>
        <w:gridCol w:w="1417"/>
        <w:gridCol w:w="5606"/>
      </w:tblGrid>
      <w:tr w:rsidR="00AB514E">
        <w:trPr>
          <w:trHeight w:val="529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структурного элемента/</w:t>
            </w:r>
          </w:p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Финансовые затраты на реализацию, </w:t>
            </w:r>
          </w:p>
          <w:p w:rsidR="00AB514E" w:rsidRDefault="001177FD">
            <w:pPr>
              <w:spacing w:line="57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Результаты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76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на 01.10.2024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spacing w:line="57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70 816 711,6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28 613 917,5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55 641 241,6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21 178 197,2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2 476 928,4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1 564 339,1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38 456 817,8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12 695 161,8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4 613 608,2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954 211,6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10 561 861,8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6 481 508,7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разрезе структурных элементов: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«Укрепление материально-технической базы медицинских организаций»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3 675 415,4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1 381 991,2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Запланировано финансирование 6 объектов.</w:t>
            </w:r>
          </w:p>
          <w:p w:rsidR="00AB514E" w:rsidRDefault="00AB514E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3 675 415,4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1 381 991,2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«Модернизация первичного звена здравоохранения Российской Федерации»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2 333 572,9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1 195 861,5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Запланировано финансирование 11 объектов здравоохранения, из них введены в эксплуатацию 3 объекта: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«Врачебная амбулатория пгт. Луговой Кондинского района», мощность 40 пос. в смену/535м3;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«Врачебная амбулатория с дневным стационаром» с. Локосово Сургутского района Ханты-Мансийского </w:t>
            </w:r>
            <w:r>
              <w:rPr>
                <w:color w:val="000000"/>
                <w:sz w:val="22"/>
                <w:szCs w:val="22"/>
              </w:rPr>
              <w:lastRenderedPageBreak/>
              <w:t>автономного округа – Югры», мощность 25 пос. в смену/537м2;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«Бюджетное учреждение Ханты-Мансийского автономного округа - Югры «Березовская районная больница" Поликлиника», мощность 338 пос. в смену/1470м2.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Осуществляется проведение капитального ремонта 7 объектов здравоохранения.                                         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Завершен капитальный ремонт объекта «Детская поликлиника в г. Лянтор» и «Здание поликлиники (Белоярская районная больница).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2 333 572,9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1 195 861,5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355 413,1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273 574,0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«Современная школа»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12 548 663,6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4 896 407,4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Предусмотрено финансирование 19 объектов, из низ 5 объектов введены в эксплуатацию и по ним осуществляются платежи по концессионным соглашениям. 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11 243 950,0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4 762 673,9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42,4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720 930,7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403 851,6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9 665 113,3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2 621 849,3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1 304 713,6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133 733,5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«Укрепление материально-технической базы образовательных организаций, организаций для отдыха и оздоровления детей»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1 051 774,9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201 601,3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Предусмотрено финансирование 9 объектов, из них 2 объекта введены в эксплуатацию: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«Корпус для Ханты-Мансийского технолого-педагогического колледжа», мощность 450 мест/10700 м2;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«Детский сад на 320 мест в квартале 21 (Стр. N 6) г. Нижневартовска», мощность 320 мест/7478м2.</w:t>
            </w:r>
          </w:p>
          <w:p w:rsidR="00AB514E" w:rsidRDefault="00AB514E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837 279,9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201 003,3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227 356,1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28 062,9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214 495,0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color w:val="000000"/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условий для обучения, отдыха и оздоровления детей и молодежи»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1 887 053,5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917 830,9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20.09.2024 введена в эксплуатацию после проведения капитального ремонта СОШ №2 в г.Покачи.</w:t>
            </w:r>
            <w:r>
              <w:rPr>
                <w:color w:val="000000"/>
                <w:sz w:val="22"/>
                <w:szCs w:val="22"/>
              </w:rPr>
              <w:br/>
              <w:t xml:space="preserve">В высокой степени готовности находятся школы в Кондинском районе (п.Куминский), Ханты-Мансийском районе (п. Краснолениниский), их ввод ожидается в </w:t>
            </w:r>
            <w:r>
              <w:rPr>
                <w:color w:val="000000"/>
                <w:sz w:val="22"/>
                <w:szCs w:val="22"/>
              </w:rPr>
              <w:lastRenderedPageBreak/>
              <w:t>октябре.</w:t>
            </w:r>
            <w:r>
              <w:rPr>
                <w:color w:val="000000"/>
                <w:sz w:val="22"/>
                <w:szCs w:val="22"/>
              </w:rPr>
              <w:br/>
              <w:t xml:space="preserve">Завершено комплектование средствами обучения и воспитания школ в в г. Покачи, г. Югорске, Ханты-Мансийском районе (3 из 5). 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2 004 816,0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906 874,8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в том числе 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432 448,9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322 497,9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1 698 348,3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906 874,8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188 705,2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«Культурная среда»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332 038,3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231 988,2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Капитальный ремонт Нижневартовского театра юного зрителя. Готовность объекта - 71%. 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332 038,3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231 988,2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107 611,0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89 305,2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«Укрепление материально-технической базы учреждений культуры»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297 241,3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109 286,0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36,8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Предусмотрено финансирование 3 объектов, из них 2 объекта введены в эксплуатацию: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Строительство СДК п. Горноправдинск, Ханты-Мансийский район, ввод в эксплуатацию в 2025 году. 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Музей «Барсова гора» Сургутский район,  ввод в эксплуатацию в 2025 году.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Няганский театр юного зрителя, выполнение проектно-изыскательских работ. 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239 788,4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88 858,1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286 130,7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88 858,1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57 452,9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20 427,9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«Спорт - норма жизни»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425 403,2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223 762,2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2024 году в рамках регионального проекта предусмотрено финансирование на завершение работ по объекту «Спортивный комплекс «Центр боевых искусств».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367 763,0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213 329,8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32 125,1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32 125,1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639 077,3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213 329,8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57 640,2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«Укрепление материально-технической базы учреждений спорта»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2 877 377,1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437 143,3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2024 году предусмотрено финансирование 8 объектов:</w:t>
            </w:r>
            <w:r>
              <w:rPr>
                <w:color w:val="000000"/>
                <w:sz w:val="22"/>
                <w:szCs w:val="22"/>
              </w:rPr>
              <w:br/>
              <w:t>по 5 объектам осуществляется оплата по концессионным соглашениям в пределах сумм, необходимых для оплаты денежных обязательств по расходам получателей средств соответствующего бюджета;</w:t>
            </w:r>
            <w:r>
              <w:rPr>
                <w:color w:val="000000"/>
                <w:sz w:val="22"/>
                <w:szCs w:val="22"/>
              </w:rPr>
              <w:br/>
              <w:t>по 2 объектам осуществляется поэтапная оплата работ «по факту» на основании актов выполненных работ;</w:t>
            </w:r>
            <w:r>
              <w:rPr>
                <w:color w:val="000000"/>
                <w:sz w:val="22"/>
                <w:szCs w:val="22"/>
              </w:rPr>
              <w:br/>
              <w:t xml:space="preserve">по объекту «Спортивный зал имени Руслана Проводникова в пгт. Березово» плановые назначения предусмотрены на выполнение строительно-монтажных работ. 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1 836 053,8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431 468,5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1 836 053,8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431 468,5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516 045,7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525 277,6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«Развитие материально-технической базы объектов молодежного досуга»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 2024 году в рамках регионального проекта предусмотрено финансирование 2 объектов:</w:t>
            </w:r>
            <w:r>
              <w:rPr>
                <w:color w:val="000000"/>
                <w:sz w:val="22"/>
                <w:szCs w:val="22"/>
              </w:rPr>
              <w:br/>
              <w:t>по объекту «Круглогодичный образовательный центр компетенций» сформированы земельные участки и поставлены на кадастровый учет, ведется работа по переводу земель из лесного фонда (планируется проведение единой закупки ПИР+СМР);</w:t>
            </w:r>
            <w:r>
              <w:rPr>
                <w:color w:val="000000"/>
                <w:sz w:val="22"/>
                <w:szCs w:val="22"/>
              </w:rPr>
              <w:br/>
              <w:t>по объекту «Региональный круглогодичный учебно-методический центр (лагерь) военно-патриотического воспитания молодежи «АВАНГАРД» (планируется проведение единой закупки ПИР+СМР).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и укрепление пожарных депо и отдельных постов пожарной охраны»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2024 году в рамках регионального проекта предусмотрено финансирование на завершение работ по объекту «Комплекс зданий и сооружений пожарного депо в пгт. Пойковский».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«Жилье»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719 560,9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221 955,3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2024 году в рамках регионального проекта предусмотрено финансирование строительства 3 автомобильных дорог в городах Нижневартовск и Югорск. 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Техническая готовность объектов: «Город Нижневартовск. Улица Северная от улицы Интернациональной до улицы Первопоселенцев. Улица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Героев Самотлора от улицы №21 до улицы Северной» - 88%; «Улица Первопоселенцев от улицы Северной до улицы Нововартовской г. Нижневартовска» - 97%, «Улица Магистральная в городе Югорске» - 79%. 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объектов запланирован на декабрь 2024 года.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660 394,3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212 455,8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38 322,1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38 322,1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из иных бюджетов бюджетной системы Российской Федерации (справочно)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660 394,3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212 455,8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32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59 166,6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«Чистая вода»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1 506 055,8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224 378,1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Предусмотрено финансирование 4 объектов, из них 1 объект введены в эксплуатацию:</w:t>
            </w:r>
            <w:r>
              <w:rPr>
                <w:sz w:val="22"/>
                <w:szCs w:val="22"/>
              </w:rPr>
              <w:t xml:space="preserve"> 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«Реконструкция водоочистных сооружений с обследованием водозабора в г.п. Приобье, Ханты-Мансийского автономного округа - Югры, Тюменской области», мощность 200 куб. м/сут./11979м.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1 359 271,5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206 306,6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1 359 271,5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206 306,6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8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146 784,3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18 071,5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(реконструкция) коммунальных объектов»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2 262 745,2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924 465,7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(реконструкция) 9 объектов коммунальной инфраструктуры в 9 муниципальных образованиях автономного округа (2024 год - 6 объектов; 2025 год - 3 объекта). 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1 820 679,0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873 725,1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1 820 679,0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873 725,1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422 212,2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50 740,6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19 854,0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инфраструктуры Научно-технологического центра в городе Сургуте»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1 825 837,9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387 165,1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Создание Научно-технологического центра, Участка набережной протоки Кривуля.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1 641 526,0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349 180,5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1 641 526,0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349 180,5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184 311,9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37 984,6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центра высоких биомедицинских технологий»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«Укрепление материально-технической базы и обеспечение комплексной безопасности объектов государственных организаций социального обслуживания»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5 274,8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2024 году в рамках регионального проекта предусмотрено финансирование на завершение работ по объекту «Реконструкция комплексного центра социального обслуживания населения в г. Мегион» согласно заключенному контракту, оплата работ «по факту» на основании актов выполненных работ.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5 274,8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«Развитие инфраструктуры для научных исследований и подготовки кадров»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из иных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Региональный проект «Создание инновационного научно-технологического </w:t>
            </w:r>
            <w:r>
              <w:rPr>
                <w:color w:val="000000"/>
                <w:sz w:val="22"/>
                <w:szCs w:val="22"/>
              </w:rPr>
              <w:lastRenderedPageBreak/>
              <w:t>центра «ЮНИТИ ПАРК»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84 499,4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2024 году в рамках регионального проекта предусмотрено финансирование 2 объектов, </w:t>
            </w:r>
            <w:r>
              <w:rPr>
                <w:color w:val="000000"/>
                <w:sz w:val="22"/>
                <w:szCs w:val="22"/>
              </w:rPr>
              <w:lastRenderedPageBreak/>
              <w:t>планируется проведение закупки на СМР.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84 499,4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(реконструкция) объектов транспортной инфраструктуры»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216 129,0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157 853,7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58 275,3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«Капитальный ремонт объектов недвижимости, находящихся в собственности автономного округа»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1 884 333,7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1 724 650,7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Завершен капитальный ремонт следующих объектов:                                «Здание поликлиники (Белоярская районная больница)» по адресу: г. Белоярский, ул.Барсукова, д.6/8;                                                                                                             «Гараж (Пождепо)» по адресу: п. Горноправдинск, ул. Петелина, д. 11 а.                                                                                                                  2. Выполняется капитальный следующих объектов:                                                               «Здание Сургутского государственного университета» адресу:                    г. Сургут, ул. Энергетиков, д. 22 (договор № 81-03/ОК от 16.06.2023);         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«Здание окружного военкомата» по адресу: г. Ханты-Мансийск, ул. Дзержинского, д. 10 (договор от 04.06.2024 № 215-24/ОК);                                                                           «Взлетно-посадочная полоса» по адресу: пгт. Березово, ул. Астраханцева, д. 102/17 (1 этап) (договор от 23.05.2024 № 187-24/ОК);                                                                           - «Терапевтический корпус» по адресу: г. Лангепас, ул. Парковая, владение № 32, корп. 2 (ремонт лифтового оборудования) (договор от 25.05.2024 №191-24/ОК);       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«Котельная 2х3,0 МВт объекта «Общежитие № 2. Вторая очередь Центра искусств для одаренных детей Севера» по адресу: г. Ханты-Мансийск, ул. Пискунова, д. 3 (договор от 11.06.2024 № 221-24/ОК);                                                                            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«Кожно-венерологический диспансер» по адресу: г. Ханты-Мансийск, ул. Гагарина, д. 72  (договор от 14.06.2024 № 185-24/ОК);                                            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«Общежитие» по адресу: г. Югорск, ул. 40 лет Победы, </w:t>
            </w:r>
            <w:r>
              <w:rPr>
                <w:color w:val="000000"/>
                <w:sz w:val="22"/>
                <w:szCs w:val="22"/>
              </w:rPr>
              <w:lastRenderedPageBreak/>
              <w:t>д. 4  (договор от 26.06.2024 № 190-24/ОК).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1 884 333,7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1 724 650,7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«Затраты на временное содержание объектов»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18 941,4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Оплата работ «по факту» на основании актов выполненных работ.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43 840,0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40 230,0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6 963,8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«Обеспечение надежности и качества предоставления коммунальных услуг»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2 537 283,6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761 873,0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капитального ремонта инженерных сетей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2 149 712,0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668 006,7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2 149 712,0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668 006,7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387 571,6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93 866,3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«Реализация региональной программы модернизации систем коммунальной инфраструктуры»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300 931,4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18 687,9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капитального ремонта инженерных сетей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270 197,3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16 819,0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67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113 424,0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270 197,3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16 819,0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30 734,1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5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«Обеспечение равных прав потребителей на получение энергетических ресурсов»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1 449 190,8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883 211,7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беспечение услугами электроснабжения 100 % потребителей по социально-ориентированным тарифам.</w:t>
            </w:r>
            <w:r>
              <w:rPr>
                <w:color w:val="000000"/>
                <w:sz w:val="22"/>
                <w:szCs w:val="22"/>
              </w:rPr>
              <w:br/>
              <w:t>Население 12 муниципальных образований автономного округа обеспечено сжиженным газом в баллонах по социально ориентированным розничным ценам в 100% объеме от заявленного.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1 335 650,3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823 161,3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Субвенции на возмещение </w:t>
            </w:r>
            <w:r>
              <w:rPr>
                <w:color w:val="000000"/>
                <w:sz w:val="22"/>
                <w:szCs w:val="22"/>
              </w:rPr>
              <w:lastRenderedPageBreak/>
              <w:t>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140 122,0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82 077,3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1 335 650,3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823 161,3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113 540,5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60 050,4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«Строительство и модернизация электроэнергетических объектов в рамках инвестиционных программ субъектов электроэнергетики»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6 296 810,0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4 440 300,0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Введено в эксплуатацию 63,34 км линий электропередачи и 37,35 МВА трансформаторной мощности.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6 296 810,0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4 440 300,0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«Повышение энергоэффективности в отраслях экономики»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588 297,0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135 662,8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апитальный ремонт сетей теплоснабжения в МБДОУ.</w:t>
            </w:r>
            <w:r>
              <w:rPr>
                <w:color w:val="000000"/>
                <w:sz w:val="22"/>
                <w:szCs w:val="22"/>
              </w:rPr>
              <w:br/>
              <w:t>Проведение конкурсов по выбору подрядных организаций на выполнение работ по реконструкции водопроводных и магистральных тепловых сетей в муниципальных предприятиях. Замена индивидуальных приборов учета ИПУ ХГВС</w:t>
            </w:r>
          </w:p>
          <w:p w:rsidR="00AB514E" w:rsidRDefault="00AB514E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303 097,8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48 326,4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285 199,2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87 336,4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«Обеспечение устойчивого сокращения непригодного для проживания жилищного фонда»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347 416,1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243 271,6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рамках регионального проекта «Обеспечение устойчивого сокращения непригодного для проживания жилищного фонда» произведены выплаты возмещения за изымаемые аварийные жилые помещения, расселены 507 семей.     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317 849,5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222 785,5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364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32 990,6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32 990,4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317 849,5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222 785,5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29 566,6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20 486,1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«Реализация региональной адресной программы по переселению граждан из </w:t>
            </w:r>
            <w:r>
              <w:rPr>
                <w:color w:val="000000"/>
                <w:sz w:val="22"/>
                <w:szCs w:val="22"/>
              </w:rPr>
              <w:lastRenderedPageBreak/>
              <w:t>аварийного жилищного фонда»(всего)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6 607 344,8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6 607 344,8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6 607 344,8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«Реализация полномочий в области строительства и жилищных отношений»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7 003 232,3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4 412 838,9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Муниципальными образованиями приобретены 556 жилых помещений общей площадью 29 663,63 тыс. кв. м, 284 семей получили возмещение за изымаемое жилое помещение в связи со сносом аварийного жилья, снесено 148 объектов капитального строительства, приспособлены 32 жилых помещения (места общего пользования в МКД) для нужд инвалидов, предоставлены субсидии на жилье 96 участникам СВО.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6 520 523,9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4 050 571,0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6 520 523,9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4 050 571,0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9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482 708,4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362 267,9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«Сопровождение и развитие региональных информационных систем в области жилищной сферы»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13 150,4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Оплата работ «по факту» на основании актов выполненных работ. Обеспечено развитие, бесперебойное функционирование и техническая поддержка государственной автоматизированной информационной системы учета граждан, нуждающихся в получении государственной поддержки в жилищной сфере автономного округа, а также техническая поддержка информационной системы управления проектами государственного заказчика в сфере строительства.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13 150,4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«Обеспечение уставной деятельности некоммерческих организаций жилищно-коммунальной сферы»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729 810,9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400 323,5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Обеспечено выполнение Плана работы автономной некоммерческой организации «Центр развития строительного и жилищно-коммунального комплекса». Обеспечена реализация мероприятий Программы капитального ремонта общего имущества в многоквартирных домах, расположенных на территории Ханты-Мансийского автономного округа – Югры. Иные мероприятия (результаты).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729 810,9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400 323,5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Региональный проект «Содействие </w:t>
            </w:r>
            <w:r>
              <w:rPr>
                <w:color w:val="000000"/>
                <w:sz w:val="22"/>
                <w:szCs w:val="22"/>
              </w:rPr>
              <w:lastRenderedPageBreak/>
              <w:t>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1 336 040,9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998 468,3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Социальные выплаты предоставлены 102 молодым </w:t>
            </w:r>
            <w:r>
              <w:rPr>
                <w:color w:val="000000"/>
                <w:sz w:val="22"/>
                <w:szCs w:val="22"/>
              </w:rPr>
              <w:lastRenderedPageBreak/>
              <w:t>семьям, 143 семьям переселены из жилых помещений, в которых превышена концентрация  фенола и (или) формальдегида.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1 221 179,3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929 241,6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448 721,4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320 615,3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71,5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1 221 179,3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929 241,6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76,1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114 861,6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69 226,7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Ведомственный проект «Создание фонда наемных домов» (БАО)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3 726 484,5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– 2024-2026 годы.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Ведомственный проект «Восстановление прав граждан - участников долевого строительства»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Восстановлены права 150 пострадавших граждан – дольщиков 2 проблемных объектов (один проблемный объект введен в эксплуатацию, дольщикам второго объекта предоставлены выплаты).</w:t>
            </w: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2 904 745,2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1 985 821,1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Перечислены 865 субсидий, социальных выплат различным категориям граждан (386 семей с 3 и более детей (взамен земельного участка), 284 семьи с детьми, 4 сотрудника организаций (ИТИ, медицины, науки и образования), 147 гражданам из числа КМНС,  16 жителей Херсонской области, 1 ветеран ВОВ, 15 ветеранов боевых действий, 4 инвалида, 8 государственных гражданских служащих). 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Перечислена компенсация части процентной ставки по 16 565 ипотечным кредитам, в том числе 245 участников СВО.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1 197 152,3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588 183,7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194 941,5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51 057,5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200 410,4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52 465,3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1 707 592,9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1 397 637,4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color w:val="000000"/>
                <w:sz w:val="22"/>
                <w:szCs w:val="22"/>
              </w:rPr>
              <w:lastRenderedPageBreak/>
              <w:t>«Обеспечение деятельности исполнительных органов Ханты-Мансийского автономного округа - Югры»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660 617,7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493 465,3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осуществляются по факту предоставленных </w:t>
            </w:r>
            <w:r>
              <w:rPr>
                <w:color w:val="000000"/>
                <w:sz w:val="22"/>
                <w:szCs w:val="22"/>
              </w:rPr>
              <w:lastRenderedPageBreak/>
              <w:t>документов для оплаты.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660 617,7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493 465,3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«Обеспечение деятельности подведомственных учреждений»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578 988,0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404 351,4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осуществляются по факту предоставленных документов для оплаты.</w:t>
            </w: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258 573,9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160 870,8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320 414,1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243 480,6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«Обеспечение уставной деятельности акционерного общества «Управляющая компания Инновационного научно-технологического центра «ЮНИТИ ПАРК»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84 548,7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AB514E">
            <w:pPr>
              <w:jc w:val="both"/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автономного округа (всего)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84 548,7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4E" w:rsidRDefault="00AB514E">
            <w:pPr>
              <w:rPr>
                <w:sz w:val="22"/>
                <w:szCs w:val="22"/>
              </w:rPr>
            </w:pPr>
          </w:p>
        </w:tc>
      </w:tr>
      <w:tr w:rsidR="00AB514E">
        <w:trPr>
          <w:trHeight w:val="25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«Создание Центральной больницы на 1100 коек в городе Нижневартовске» («Центральная Нижневартовская больница»)»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1 308 208,7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305 790,5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введен в эксплуатацию.</w:t>
            </w:r>
          </w:p>
          <w:p w:rsidR="00AB514E" w:rsidRDefault="001177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Доукомплектование объекта специализированным технологическим оборудованием выделено в отдельный подэтап, который не влияет на функционирование и эксплуатацию объекта.</w:t>
            </w:r>
          </w:p>
          <w:p w:rsidR="00AB514E" w:rsidRDefault="001177FD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Проводится работа по поставке и монтажу технологического оборудования.</w:t>
            </w:r>
          </w:p>
        </w:tc>
      </w:tr>
    </w:tbl>
    <w:p w:rsidR="00AB514E" w:rsidRDefault="00AB514E">
      <w:pPr>
        <w:ind w:firstLine="709"/>
        <w:jc w:val="center"/>
        <w:rPr>
          <w:color w:val="000000" w:themeColor="text1"/>
          <w:sz w:val="28"/>
          <w:szCs w:val="28"/>
        </w:rPr>
      </w:pPr>
    </w:p>
    <w:sectPr w:rsidR="00AB514E">
      <w:headerReference w:type="default" r:id="rId11"/>
      <w:pgSz w:w="16838" w:h="11906" w:orient="landscape"/>
      <w:pgMar w:top="1559" w:right="1418" w:bottom="1276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FBD" w:rsidRDefault="00395FBD">
      <w:r>
        <w:separator/>
      </w:r>
    </w:p>
  </w:endnote>
  <w:endnote w:type="continuationSeparator" w:id="0">
    <w:p w:rsidR="00395FBD" w:rsidRDefault="0039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4E" w:rsidRDefault="00AB514E">
    <w:pPr>
      <w:pStyle w:val="aa"/>
      <w:jc w:val="center"/>
    </w:pPr>
  </w:p>
  <w:p w:rsidR="00AB514E" w:rsidRDefault="00AB514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FBD" w:rsidRDefault="00395FBD">
      <w:r>
        <w:separator/>
      </w:r>
    </w:p>
  </w:footnote>
  <w:footnote w:type="continuationSeparator" w:id="0">
    <w:p w:rsidR="00395FBD" w:rsidRDefault="0039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548984"/>
      <w:docPartObj>
        <w:docPartGallery w:val="Page Numbers (Top of Page)"/>
        <w:docPartUnique/>
      </w:docPartObj>
    </w:sdtPr>
    <w:sdtEndPr/>
    <w:sdtContent>
      <w:p w:rsidR="00CB6489" w:rsidRDefault="00CB64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191">
          <w:rPr>
            <w:noProof/>
          </w:rPr>
          <w:t>2</w:t>
        </w:r>
        <w:r>
          <w:fldChar w:fldCharType="end"/>
        </w:r>
      </w:p>
    </w:sdtContent>
  </w:sdt>
  <w:p w:rsidR="00CB6489" w:rsidRDefault="00CB648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4E" w:rsidRDefault="00AB514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344"/>
    <w:multiLevelType w:val="hybridMultilevel"/>
    <w:tmpl w:val="9EE06C84"/>
    <w:lvl w:ilvl="0" w:tplc="675A76FC">
      <w:start w:val="1"/>
      <w:numFmt w:val="none"/>
      <w:suff w:val="nothing"/>
      <w:lvlText w:val=""/>
      <w:lvlJc w:val="left"/>
      <w:pPr>
        <w:ind w:left="0" w:firstLine="0"/>
      </w:pPr>
    </w:lvl>
    <w:lvl w:ilvl="1" w:tplc="271A58CC">
      <w:start w:val="1"/>
      <w:numFmt w:val="none"/>
      <w:suff w:val="nothing"/>
      <w:lvlText w:val=""/>
      <w:lvlJc w:val="left"/>
      <w:pPr>
        <w:ind w:left="0" w:firstLine="0"/>
      </w:pPr>
    </w:lvl>
    <w:lvl w:ilvl="2" w:tplc="263C299E">
      <w:start w:val="1"/>
      <w:numFmt w:val="none"/>
      <w:suff w:val="nothing"/>
      <w:lvlText w:val=""/>
      <w:lvlJc w:val="left"/>
      <w:pPr>
        <w:ind w:left="0" w:firstLine="0"/>
      </w:pPr>
    </w:lvl>
    <w:lvl w:ilvl="3" w:tplc="D7928D52">
      <w:start w:val="1"/>
      <w:numFmt w:val="none"/>
      <w:suff w:val="nothing"/>
      <w:lvlText w:val=""/>
      <w:lvlJc w:val="left"/>
      <w:pPr>
        <w:ind w:left="0" w:firstLine="0"/>
      </w:pPr>
    </w:lvl>
    <w:lvl w:ilvl="4" w:tplc="0E90F146">
      <w:start w:val="1"/>
      <w:numFmt w:val="none"/>
      <w:suff w:val="nothing"/>
      <w:lvlText w:val=""/>
      <w:lvlJc w:val="left"/>
      <w:pPr>
        <w:ind w:left="0" w:firstLine="0"/>
      </w:pPr>
    </w:lvl>
    <w:lvl w:ilvl="5" w:tplc="B1360E30">
      <w:start w:val="1"/>
      <w:numFmt w:val="none"/>
      <w:suff w:val="nothing"/>
      <w:lvlText w:val=""/>
      <w:lvlJc w:val="left"/>
      <w:pPr>
        <w:ind w:left="0" w:firstLine="0"/>
      </w:pPr>
    </w:lvl>
    <w:lvl w:ilvl="6" w:tplc="8F94901C">
      <w:start w:val="1"/>
      <w:numFmt w:val="none"/>
      <w:suff w:val="nothing"/>
      <w:lvlText w:val=""/>
      <w:lvlJc w:val="left"/>
      <w:pPr>
        <w:ind w:left="0" w:firstLine="0"/>
      </w:pPr>
    </w:lvl>
    <w:lvl w:ilvl="7" w:tplc="21E813AE">
      <w:start w:val="1"/>
      <w:numFmt w:val="none"/>
      <w:suff w:val="nothing"/>
      <w:lvlText w:val=""/>
      <w:lvlJc w:val="left"/>
      <w:pPr>
        <w:ind w:left="0" w:firstLine="0"/>
      </w:pPr>
    </w:lvl>
    <w:lvl w:ilvl="8" w:tplc="76C8443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B245882"/>
    <w:multiLevelType w:val="hybridMultilevel"/>
    <w:tmpl w:val="80D28DB6"/>
    <w:lvl w:ilvl="0" w:tplc="E8965F44">
      <w:start w:val="6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4A620D86">
      <w:start w:val="1"/>
      <w:numFmt w:val="lowerLetter"/>
      <w:lvlText w:val="%2."/>
      <w:lvlJc w:val="left"/>
      <w:pPr>
        <w:ind w:left="2148" w:hanging="360"/>
      </w:pPr>
    </w:lvl>
    <w:lvl w:ilvl="2" w:tplc="19E25122">
      <w:start w:val="1"/>
      <w:numFmt w:val="lowerRoman"/>
      <w:lvlText w:val="%3."/>
      <w:lvlJc w:val="right"/>
      <w:pPr>
        <w:ind w:left="2868" w:hanging="180"/>
      </w:pPr>
    </w:lvl>
    <w:lvl w:ilvl="3" w:tplc="EB4EACF2">
      <w:start w:val="1"/>
      <w:numFmt w:val="decimal"/>
      <w:lvlText w:val="%4."/>
      <w:lvlJc w:val="left"/>
      <w:pPr>
        <w:ind w:left="3588" w:hanging="360"/>
      </w:pPr>
    </w:lvl>
    <w:lvl w:ilvl="4" w:tplc="4790F0DA">
      <w:start w:val="1"/>
      <w:numFmt w:val="lowerLetter"/>
      <w:lvlText w:val="%5."/>
      <w:lvlJc w:val="left"/>
      <w:pPr>
        <w:ind w:left="4308" w:hanging="360"/>
      </w:pPr>
    </w:lvl>
    <w:lvl w:ilvl="5" w:tplc="8D522430">
      <w:start w:val="1"/>
      <w:numFmt w:val="lowerRoman"/>
      <w:lvlText w:val="%6."/>
      <w:lvlJc w:val="right"/>
      <w:pPr>
        <w:ind w:left="5028" w:hanging="180"/>
      </w:pPr>
    </w:lvl>
    <w:lvl w:ilvl="6" w:tplc="B6E401F6">
      <w:start w:val="1"/>
      <w:numFmt w:val="decimal"/>
      <w:lvlText w:val="%7."/>
      <w:lvlJc w:val="left"/>
      <w:pPr>
        <w:ind w:left="5748" w:hanging="360"/>
      </w:pPr>
    </w:lvl>
    <w:lvl w:ilvl="7" w:tplc="7C44BBFC">
      <w:start w:val="1"/>
      <w:numFmt w:val="lowerLetter"/>
      <w:lvlText w:val="%8."/>
      <w:lvlJc w:val="left"/>
      <w:pPr>
        <w:ind w:left="6468" w:hanging="360"/>
      </w:pPr>
    </w:lvl>
    <w:lvl w:ilvl="8" w:tplc="4F584EB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2B56AD"/>
    <w:multiLevelType w:val="hybridMultilevel"/>
    <w:tmpl w:val="DBAC0DB0"/>
    <w:lvl w:ilvl="0" w:tplc="9A9A8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BC6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6C5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C31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C21D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486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07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B87E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41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32E25"/>
    <w:multiLevelType w:val="hybridMultilevel"/>
    <w:tmpl w:val="145A1B92"/>
    <w:lvl w:ilvl="0" w:tplc="FAE00D6C">
      <w:start w:val="1"/>
      <w:numFmt w:val="decimal"/>
      <w:lvlText w:val="%1)"/>
      <w:lvlJc w:val="left"/>
      <w:pPr>
        <w:ind w:left="1428" w:hanging="360"/>
      </w:pPr>
    </w:lvl>
    <w:lvl w:ilvl="1" w:tplc="6836555A">
      <w:start w:val="1"/>
      <w:numFmt w:val="lowerLetter"/>
      <w:lvlText w:val="%2."/>
      <w:lvlJc w:val="left"/>
      <w:pPr>
        <w:ind w:left="2148" w:hanging="360"/>
      </w:pPr>
    </w:lvl>
    <w:lvl w:ilvl="2" w:tplc="C72A33F4">
      <w:start w:val="1"/>
      <w:numFmt w:val="lowerRoman"/>
      <w:lvlText w:val="%3."/>
      <w:lvlJc w:val="right"/>
      <w:pPr>
        <w:ind w:left="2868" w:hanging="180"/>
      </w:pPr>
    </w:lvl>
    <w:lvl w:ilvl="3" w:tplc="A32414D6">
      <w:start w:val="1"/>
      <w:numFmt w:val="decimal"/>
      <w:lvlText w:val="%4."/>
      <w:lvlJc w:val="left"/>
      <w:pPr>
        <w:ind w:left="3588" w:hanging="360"/>
      </w:pPr>
    </w:lvl>
    <w:lvl w:ilvl="4" w:tplc="9FAC3A4E">
      <w:start w:val="1"/>
      <w:numFmt w:val="lowerLetter"/>
      <w:lvlText w:val="%5."/>
      <w:lvlJc w:val="left"/>
      <w:pPr>
        <w:ind w:left="4308" w:hanging="360"/>
      </w:pPr>
    </w:lvl>
    <w:lvl w:ilvl="5" w:tplc="47281550">
      <w:start w:val="1"/>
      <w:numFmt w:val="lowerRoman"/>
      <w:lvlText w:val="%6."/>
      <w:lvlJc w:val="right"/>
      <w:pPr>
        <w:ind w:left="5028" w:hanging="180"/>
      </w:pPr>
    </w:lvl>
    <w:lvl w:ilvl="6" w:tplc="FA3C655C">
      <w:start w:val="1"/>
      <w:numFmt w:val="decimal"/>
      <w:lvlText w:val="%7."/>
      <w:lvlJc w:val="left"/>
      <w:pPr>
        <w:ind w:left="5748" w:hanging="360"/>
      </w:pPr>
    </w:lvl>
    <w:lvl w:ilvl="7" w:tplc="F8A475A4">
      <w:start w:val="1"/>
      <w:numFmt w:val="lowerLetter"/>
      <w:lvlText w:val="%8."/>
      <w:lvlJc w:val="left"/>
      <w:pPr>
        <w:ind w:left="6468" w:hanging="360"/>
      </w:pPr>
    </w:lvl>
    <w:lvl w:ilvl="8" w:tplc="7A5EC7B2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A45A59"/>
    <w:multiLevelType w:val="hybridMultilevel"/>
    <w:tmpl w:val="AD448862"/>
    <w:lvl w:ilvl="0" w:tplc="8138DDA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6E8042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BDE57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B266BD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F7254A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11E38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29A65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020C7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36A72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6984C84"/>
    <w:multiLevelType w:val="hybridMultilevel"/>
    <w:tmpl w:val="6A768D66"/>
    <w:lvl w:ilvl="0" w:tplc="0D0837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70E456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83E1F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2049D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FC89F5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B6ADDC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7784C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D6627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4EAD1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B0B6DD1"/>
    <w:multiLevelType w:val="hybridMultilevel"/>
    <w:tmpl w:val="5964ACD0"/>
    <w:lvl w:ilvl="0" w:tplc="309E6F0E">
      <w:start w:val="1"/>
      <w:numFmt w:val="decimal"/>
      <w:lvlText w:val="%1)"/>
      <w:lvlJc w:val="left"/>
      <w:pPr>
        <w:ind w:left="1428" w:hanging="360"/>
      </w:pPr>
    </w:lvl>
    <w:lvl w:ilvl="1" w:tplc="C884129E">
      <w:start w:val="1"/>
      <w:numFmt w:val="lowerLetter"/>
      <w:lvlText w:val="%2."/>
      <w:lvlJc w:val="left"/>
      <w:pPr>
        <w:ind w:left="2148" w:hanging="360"/>
      </w:pPr>
    </w:lvl>
    <w:lvl w:ilvl="2" w:tplc="857C4D6E">
      <w:start w:val="1"/>
      <w:numFmt w:val="lowerRoman"/>
      <w:lvlText w:val="%3."/>
      <w:lvlJc w:val="right"/>
      <w:pPr>
        <w:ind w:left="2868" w:hanging="180"/>
      </w:pPr>
    </w:lvl>
    <w:lvl w:ilvl="3" w:tplc="C3E24942">
      <w:start w:val="1"/>
      <w:numFmt w:val="decimal"/>
      <w:lvlText w:val="%4."/>
      <w:lvlJc w:val="left"/>
      <w:pPr>
        <w:ind w:left="3588" w:hanging="360"/>
      </w:pPr>
    </w:lvl>
    <w:lvl w:ilvl="4" w:tplc="BC9AF16A">
      <w:start w:val="1"/>
      <w:numFmt w:val="lowerLetter"/>
      <w:lvlText w:val="%5."/>
      <w:lvlJc w:val="left"/>
      <w:pPr>
        <w:ind w:left="4308" w:hanging="360"/>
      </w:pPr>
    </w:lvl>
    <w:lvl w:ilvl="5" w:tplc="FD88E994">
      <w:start w:val="1"/>
      <w:numFmt w:val="lowerRoman"/>
      <w:lvlText w:val="%6."/>
      <w:lvlJc w:val="right"/>
      <w:pPr>
        <w:ind w:left="5028" w:hanging="180"/>
      </w:pPr>
    </w:lvl>
    <w:lvl w:ilvl="6" w:tplc="90E048C4">
      <w:start w:val="1"/>
      <w:numFmt w:val="decimal"/>
      <w:lvlText w:val="%7."/>
      <w:lvlJc w:val="left"/>
      <w:pPr>
        <w:ind w:left="5748" w:hanging="360"/>
      </w:pPr>
    </w:lvl>
    <w:lvl w:ilvl="7" w:tplc="15ACB62C">
      <w:start w:val="1"/>
      <w:numFmt w:val="lowerLetter"/>
      <w:lvlText w:val="%8."/>
      <w:lvlJc w:val="left"/>
      <w:pPr>
        <w:ind w:left="6468" w:hanging="360"/>
      </w:pPr>
    </w:lvl>
    <w:lvl w:ilvl="8" w:tplc="35185D8C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B9C3639"/>
    <w:multiLevelType w:val="hybridMultilevel"/>
    <w:tmpl w:val="CBB0CDA6"/>
    <w:lvl w:ilvl="0" w:tplc="DB50214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36E467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3566AF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5ACC8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532895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8A8545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C87DC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8CCF64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67A54E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D042889"/>
    <w:multiLevelType w:val="hybridMultilevel"/>
    <w:tmpl w:val="9DAEA70E"/>
    <w:lvl w:ilvl="0" w:tplc="416E93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A6C3E8">
      <w:start w:val="1"/>
      <w:numFmt w:val="lowerLetter"/>
      <w:lvlText w:val="%2."/>
      <w:lvlJc w:val="left"/>
      <w:pPr>
        <w:ind w:left="1440" w:hanging="360"/>
      </w:pPr>
    </w:lvl>
    <w:lvl w:ilvl="2" w:tplc="271E2BD2">
      <w:start w:val="1"/>
      <w:numFmt w:val="lowerRoman"/>
      <w:lvlText w:val="%3."/>
      <w:lvlJc w:val="right"/>
      <w:pPr>
        <w:ind w:left="2160" w:hanging="180"/>
      </w:pPr>
    </w:lvl>
    <w:lvl w:ilvl="3" w:tplc="7A3CE186">
      <w:start w:val="1"/>
      <w:numFmt w:val="decimal"/>
      <w:lvlText w:val="%4."/>
      <w:lvlJc w:val="left"/>
      <w:pPr>
        <w:ind w:left="2880" w:hanging="360"/>
      </w:pPr>
    </w:lvl>
    <w:lvl w:ilvl="4" w:tplc="94D2C628">
      <w:start w:val="1"/>
      <w:numFmt w:val="lowerLetter"/>
      <w:lvlText w:val="%5."/>
      <w:lvlJc w:val="left"/>
      <w:pPr>
        <w:ind w:left="3600" w:hanging="360"/>
      </w:pPr>
    </w:lvl>
    <w:lvl w:ilvl="5" w:tplc="9C3EA01A">
      <w:start w:val="1"/>
      <w:numFmt w:val="lowerRoman"/>
      <w:lvlText w:val="%6."/>
      <w:lvlJc w:val="right"/>
      <w:pPr>
        <w:ind w:left="4320" w:hanging="180"/>
      </w:pPr>
    </w:lvl>
    <w:lvl w:ilvl="6" w:tplc="B238B802">
      <w:start w:val="1"/>
      <w:numFmt w:val="decimal"/>
      <w:lvlText w:val="%7."/>
      <w:lvlJc w:val="left"/>
      <w:pPr>
        <w:ind w:left="5040" w:hanging="360"/>
      </w:pPr>
    </w:lvl>
    <w:lvl w:ilvl="7" w:tplc="BC34867E">
      <w:start w:val="1"/>
      <w:numFmt w:val="lowerLetter"/>
      <w:lvlText w:val="%8."/>
      <w:lvlJc w:val="left"/>
      <w:pPr>
        <w:ind w:left="5760" w:hanging="360"/>
      </w:pPr>
    </w:lvl>
    <w:lvl w:ilvl="8" w:tplc="3068803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80CD1"/>
    <w:multiLevelType w:val="hybridMultilevel"/>
    <w:tmpl w:val="C352D6A4"/>
    <w:lvl w:ilvl="0" w:tplc="E1C870E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814228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458EB07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77E0302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C1DA461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784A31F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158E374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3B6296D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E4F4F9A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37B30B52"/>
    <w:multiLevelType w:val="hybridMultilevel"/>
    <w:tmpl w:val="0C321998"/>
    <w:lvl w:ilvl="0" w:tplc="4608FC4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1F4A3D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43EAF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8E2AA2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ECAF12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F84FF3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ADEE52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8DE3EF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71C218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0B76999"/>
    <w:multiLevelType w:val="hybridMultilevel"/>
    <w:tmpl w:val="CD189012"/>
    <w:lvl w:ilvl="0" w:tplc="8442706E">
      <w:start w:val="1"/>
      <w:numFmt w:val="decimal"/>
      <w:lvlText w:val="%1."/>
      <w:lvlJc w:val="left"/>
      <w:pPr>
        <w:ind w:left="720" w:hanging="360"/>
      </w:pPr>
    </w:lvl>
    <w:lvl w:ilvl="1" w:tplc="AE22F556">
      <w:start w:val="1"/>
      <w:numFmt w:val="lowerLetter"/>
      <w:lvlText w:val="%2."/>
      <w:lvlJc w:val="left"/>
      <w:pPr>
        <w:ind w:left="1440" w:hanging="360"/>
      </w:pPr>
    </w:lvl>
    <w:lvl w:ilvl="2" w:tplc="7E9CC27E">
      <w:start w:val="1"/>
      <w:numFmt w:val="lowerRoman"/>
      <w:lvlText w:val="%3."/>
      <w:lvlJc w:val="right"/>
      <w:pPr>
        <w:ind w:left="2160" w:hanging="180"/>
      </w:pPr>
    </w:lvl>
    <w:lvl w:ilvl="3" w:tplc="D6FE58AE">
      <w:start w:val="1"/>
      <w:numFmt w:val="decimal"/>
      <w:lvlText w:val="%4."/>
      <w:lvlJc w:val="left"/>
      <w:pPr>
        <w:ind w:left="2880" w:hanging="360"/>
      </w:pPr>
    </w:lvl>
    <w:lvl w:ilvl="4" w:tplc="8B049A7A">
      <w:start w:val="1"/>
      <w:numFmt w:val="lowerLetter"/>
      <w:lvlText w:val="%5."/>
      <w:lvlJc w:val="left"/>
      <w:pPr>
        <w:ind w:left="3600" w:hanging="360"/>
      </w:pPr>
    </w:lvl>
    <w:lvl w:ilvl="5" w:tplc="9F9C8FC4">
      <w:start w:val="1"/>
      <w:numFmt w:val="lowerRoman"/>
      <w:lvlText w:val="%6."/>
      <w:lvlJc w:val="right"/>
      <w:pPr>
        <w:ind w:left="4320" w:hanging="180"/>
      </w:pPr>
    </w:lvl>
    <w:lvl w:ilvl="6" w:tplc="CC5090B4">
      <w:start w:val="1"/>
      <w:numFmt w:val="decimal"/>
      <w:lvlText w:val="%7."/>
      <w:lvlJc w:val="left"/>
      <w:pPr>
        <w:ind w:left="5040" w:hanging="360"/>
      </w:pPr>
    </w:lvl>
    <w:lvl w:ilvl="7" w:tplc="AD7610BE">
      <w:start w:val="1"/>
      <w:numFmt w:val="lowerLetter"/>
      <w:lvlText w:val="%8."/>
      <w:lvlJc w:val="left"/>
      <w:pPr>
        <w:ind w:left="5760" w:hanging="360"/>
      </w:pPr>
    </w:lvl>
    <w:lvl w:ilvl="8" w:tplc="CB66B9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E12F9"/>
    <w:multiLevelType w:val="hybridMultilevel"/>
    <w:tmpl w:val="06CE800A"/>
    <w:lvl w:ilvl="0" w:tplc="8BE0BCA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288829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1E6FAF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098BD7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EFA0A7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812CD2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046B75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03872D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18CA35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AA27876"/>
    <w:multiLevelType w:val="hybridMultilevel"/>
    <w:tmpl w:val="41D61F42"/>
    <w:lvl w:ilvl="0" w:tplc="75BAD360">
      <w:start w:val="6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A8148CF2">
      <w:start w:val="1"/>
      <w:numFmt w:val="lowerLetter"/>
      <w:lvlText w:val="%2."/>
      <w:lvlJc w:val="left"/>
      <w:pPr>
        <w:ind w:left="2148" w:hanging="360"/>
      </w:pPr>
    </w:lvl>
    <w:lvl w:ilvl="2" w:tplc="BA84D250">
      <w:start w:val="1"/>
      <w:numFmt w:val="lowerRoman"/>
      <w:lvlText w:val="%3."/>
      <w:lvlJc w:val="right"/>
      <w:pPr>
        <w:ind w:left="2868" w:hanging="180"/>
      </w:pPr>
    </w:lvl>
    <w:lvl w:ilvl="3" w:tplc="CD385828">
      <w:start w:val="1"/>
      <w:numFmt w:val="decimal"/>
      <w:lvlText w:val="%4."/>
      <w:lvlJc w:val="left"/>
      <w:pPr>
        <w:ind w:left="3588" w:hanging="360"/>
      </w:pPr>
    </w:lvl>
    <w:lvl w:ilvl="4" w:tplc="5FE2FD50">
      <w:start w:val="1"/>
      <w:numFmt w:val="lowerLetter"/>
      <w:lvlText w:val="%5."/>
      <w:lvlJc w:val="left"/>
      <w:pPr>
        <w:ind w:left="4308" w:hanging="360"/>
      </w:pPr>
    </w:lvl>
    <w:lvl w:ilvl="5" w:tplc="88720D22">
      <w:start w:val="1"/>
      <w:numFmt w:val="lowerRoman"/>
      <w:lvlText w:val="%6."/>
      <w:lvlJc w:val="right"/>
      <w:pPr>
        <w:ind w:left="5028" w:hanging="180"/>
      </w:pPr>
    </w:lvl>
    <w:lvl w:ilvl="6" w:tplc="3B5E0C02">
      <w:start w:val="1"/>
      <w:numFmt w:val="decimal"/>
      <w:lvlText w:val="%7."/>
      <w:lvlJc w:val="left"/>
      <w:pPr>
        <w:ind w:left="5748" w:hanging="360"/>
      </w:pPr>
    </w:lvl>
    <w:lvl w:ilvl="7" w:tplc="132ABA96">
      <w:start w:val="1"/>
      <w:numFmt w:val="lowerLetter"/>
      <w:lvlText w:val="%8."/>
      <w:lvlJc w:val="left"/>
      <w:pPr>
        <w:ind w:left="6468" w:hanging="360"/>
      </w:pPr>
    </w:lvl>
    <w:lvl w:ilvl="8" w:tplc="9E4C6EE2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02123F"/>
    <w:multiLevelType w:val="hybridMultilevel"/>
    <w:tmpl w:val="631CA1AC"/>
    <w:lvl w:ilvl="0" w:tplc="E960936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FF67F8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14C271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8B88A3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6BE8C1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E9E0B3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8D46537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A98E8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F3CFC3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0D307CE"/>
    <w:multiLevelType w:val="hybridMultilevel"/>
    <w:tmpl w:val="2356DCF0"/>
    <w:lvl w:ilvl="0" w:tplc="8C30B49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73143C6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32864B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F26BE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E308D5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36C821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E7CC3F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D7CABC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F9EBC7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8481289"/>
    <w:multiLevelType w:val="hybridMultilevel"/>
    <w:tmpl w:val="9AD8BECC"/>
    <w:lvl w:ilvl="0" w:tplc="2996A4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EC8B3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71CD3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1B8DEC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8EEFF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21C89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EB0D6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C4463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BDA76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A647EEE"/>
    <w:multiLevelType w:val="hybridMultilevel"/>
    <w:tmpl w:val="73E44CAC"/>
    <w:lvl w:ilvl="0" w:tplc="C8EEF57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78F6181E">
      <w:start w:val="1"/>
      <w:numFmt w:val="lowerLetter"/>
      <w:lvlText w:val="%2."/>
      <w:lvlJc w:val="left"/>
      <w:pPr>
        <w:ind w:left="1789" w:hanging="360"/>
      </w:pPr>
    </w:lvl>
    <w:lvl w:ilvl="2" w:tplc="9B904B2A">
      <w:start w:val="1"/>
      <w:numFmt w:val="lowerRoman"/>
      <w:lvlText w:val="%3."/>
      <w:lvlJc w:val="right"/>
      <w:pPr>
        <w:ind w:left="2509" w:hanging="180"/>
      </w:pPr>
    </w:lvl>
    <w:lvl w:ilvl="3" w:tplc="F506936A">
      <w:start w:val="1"/>
      <w:numFmt w:val="decimal"/>
      <w:lvlText w:val="%4."/>
      <w:lvlJc w:val="left"/>
      <w:pPr>
        <w:ind w:left="3229" w:hanging="360"/>
      </w:pPr>
    </w:lvl>
    <w:lvl w:ilvl="4" w:tplc="C456B072">
      <w:start w:val="1"/>
      <w:numFmt w:val="lowerLetter"/>
      <w:lvlText w:val="%5."/>
      <w:lvlJc w:val="left"/>
      <w:pPr>
        <w:ind w:left="3949" w:hanging="360"/>
      </w:pPr>
    </w:lvl>
    <w:lvl w:ilvl="5" w:tplc="9F726D96">
      <w:start w:val="1"/>
      <w:numFmt w:val="lowerRoman"/>
      <w:lvlText w:val="%6."/>
      <w:lvlJc w:val="right"/>
      <w:pPr>
        <w:ind w:left="4669" w:hanging="180"/>
      </w:pPr>
    </w:lvl>
    <w:lvl w:ilvl="6" w:tplc="71566FBE">
      <w:start w:val="1"/>
      <w:numFmt w:val="decimal"/>
      <w:lvlText w:val="%7."/>
      <w:lvlJc w:val="left"/>
      <w:pPr>
        <w:ind w:left="5389" w:hanging="360"/>
      </w:pPr>
    </w:lvl>
    <w:lvl w:ilvl="7" w:tplc="414C8A62">
      <w:start w:val="1"/>
      <w:numFmt w:val="lowerLetter"/>
      <w:lvlText w:val="%8."/>
      <w:lvlJc w:val="left"/>
      <w:pPr>
        <w:ind w:left="6109" w:hanging="360"/>
      </w:pPr>
    </w:lvl>
    <w:lvl w:ilvl="8" w:tplc="5ABE9796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5F2EEF"/>
    <w:multiLevelType w:val="hybridMultilevel"/>
    <w:tmpl w:val="80D0313C"/>
    <w:lvl w:ilvl="0" w:tplc="19541F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22EB87A">
      <w:start w:val="1"/>
      <w:numFmt w:val="lowerLetter"/>
      <w:lvlText w:val="%2."/>
      <w:lvlJc w:val="left"/>
      <w:pPr>
        <w:ind w:left="1789" w:hanging="360"/>
      </w:pPr>
    </w:lvl>
    <w:lvl w:ilvl="2" w:tplc="CE6A41B8">
      <w:start w:val="1"/>
      <w:numFmt w:val="lowerRoman"/>
      <w:lvlText w:val="%3."/>
      <w:lvlJc w:val="right"/>
      <w:pPr>
        <w:ind w:left="2509" w:hanging="180"/>
      </w:pPr>
    </w:lvl>
    <w:lvl w:ilvl="3" w:tplc="7D6E76D6">
      <w:start w:val="1"/>
      <w:numFmt w:val="decimal"/>
      <w:lvlText w:val="%4."/>
      <w:lvlJc w:val="left"/>
      <w:pPr>
        <w:ind w:left="3229" w:hanging="360"/>
      </w:pPr>
    </w:lvl>
    <w:lvl w:ilvl="4" w:tplc="78CED1BA">
      <w:start w:val="1"/>
      <w:numFmt w:val="lowerLetter"/>
      <w:lvlText w:val="%5."/>
      <w:lvlJc w:val="left"/>
      <w:pPr>
        <w:ind w:left="3949" w:hanging="360"/>
      </w:pPr>
    </w:lvl>
    <w:lvl w:ilvl="5" w:tplc="54720DC2">
      <w:start w:val="1"/>
      <w:numFmt w:val="lowerRoman"/>
      <w:lvlText w:val="%6."/>
      <w:lvlJc w:val="right"/>
      <w:pPr>
        <w:ind w:left="4669" w:hanging="180"/>
      </w:pPr>
    </w:lvl>
    <w:lvl w:ilvl="6" w:tplc="2F321A44">
      <w:start w:val="1"/>
      <w:numFmt w:val="decimal"/>
      <w:lvlText w:val="%7."/>
      <w:lvlJc w:val="left"/>
      <w:pPr>
        <w:ind w:left="5389" w:hanging="360"/>
      </w:pPr>
    </w:lvl>
    <w:lvl w:ilvl="7" w:tplc="14F433D2">
      <w:start w:val="1"/>
      <w:numFmt w:val="lowerLetter"/>
      <w:lvlText w:val="%8."/>
      <w:lvlJc w:val="left"/>
      <w:pPr>
        <w:ind w:left="6109" w:hanging="360"/>
      </w:pPr>
    </w:lvl>
    <w:lvl w:ilvl="8" w:tplc="8BC0E53A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A382A13"/>
    <w:multiLevelType w:val="hybridMultilevel"/>
    <w:tmpl w:val="CE3A277C"/>
    <w:lvl w:ilvl="0" w:tplc="2B7C829A">
      <w:start w:val="1"/>
      <w:numFmt w:val="decimal"/>
      <w:lvlText w:val="%1."/>
      <w:lvlJc w:val="left"/>
      <w:pPr>
        <w:ind w:left="720" w:hanging="360"/>
      </w:pPr>
    </w:lvl>
    <w:lvl w:ilvl="1" w:tplc="AF98F194">
      <w:start w:val="1"/>
      <w:numFmt w:val="lowerLetter"/>
      <w:lvlText w:val="%2."/>
      <w:lvlJc w:val="left"/>
      <w:pPr>
        <w:ind w:left="1440" w:hanging="360"/>
      </w:pPr>
    </w:lvl>
    <w:lvl w:ilvl="2" w:tplc="5896FE0A">
      <w:start w:val="1"/>
      <w:numFmt w:val="lowerRoman"/>
      <w:lvlText w:val="%3."/>
      <w:lvlJc w:val="right"/>
      <w:pPr>
        <w:ind w:left="2160" w:hanging="180"/>
      </w:pPr>
    </w:lvl>
    <w:lvl w:ilvl="3" w:tplc="82207F26">
      <w:start w:val="1"/>
      <w:numFmt w:val="decimal"/>
      <w:lvlText w:val="%4."/>
      <w:lvlJc w:val="left"/>
      <w:pPr>
        <w:ind w:left="2880" w:hanging="360"/>
      </w:pPr>
    </w:lvl>
    <w:lvl w:ilvl="4" w:tplc="3CCA9FCA">
      <w:start w:val="1"/>
      <w:numFmt w:val="lowerLetter"/>
      <w:lvlText w:val="%5."/>
      <w:lvlJc w:val="left"/>
      <w:pPr>
        <w:ind w:left="3600" w:hanging="360"/>
      </w:pPr>
    </w:lvl>
    <w:lvl w:ilvl="5" w:tplc="79A66050">
      <w:start w:val="1"/>
      <w:numFmt w:val="lowerRoman"/>
      <w:lvlText w:val="%6."/>
      <w:lvlJc w:val="right"/>
      <w:pPr>
        <w:ind w:left="4320" w:hanging="180"/>
      </w:pPr>
    </w:lvl>
    <w:lvl w:ilvl="6" w:tplc="68B8E31C">
      <w:start w:val="1"/>
      <w:numFmt w:val="decimal"/>
      <w:lvlText w:val="%7."/>
      <w:lvlJc w:val="left"/>
      <w:pPr>
        <w:ind w:left="5040" w:hanging="360"/>
      </w:pPr>
    </w:lvl>
    <w:lvl w:ilvl="7" w:tplc="537AEEC2">
      <w:start w:val="1"/>
      <w:numFmt w:val="lowerLetter"/>
      <w:lvlText w:val="%8."/>
      <w:lvlJc w:val="left"/>
      <w:pPr>
        <w:ind w:left="5760" w:hanging="360"/>
      </w:pPr>
    </w:lvl>
    <w:lvl w:ilvl="8" w:tplc="28BC01E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26F7B"/>
    <w:multiLevelType w:val="hybridMultilevel"/>
    <w:tmpl w:val="08CA92E4"/>
    <w:lvl w:ilvl="0" w:tplc="B8E260C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F66AC4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760319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79661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6C684C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42EBDF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04E292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75C32C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39C589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70679F9"/>
    <w:multiLevelType w:val="hybridMultilevel"/>
    <w:tmpl w:val="14CAE778"/>
    <w:lvl w:ilvl="0" w:tplc="ABD479E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5587E8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2C63D8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33E550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BC8975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158DA4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44084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E0460B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AE6A3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17"/>
  </w:num>
  <w:num w:numId="5">
    <w:abstractNumId w:val="3"/>
  </w:num>
  <w:num w:numId="6">
    <w:abstractNumId w:val="6"/>
  </w:num>
  <w:num w:numId="7">
    <w:abstractNumId w:val="1"/>
  </w:num>
  <w:num w:numId="8">
    <w:abstractNumId w:val="13"/>
  </w:num>
  <w:num w:numId="9">
    <w:abstractNumId w:val="19"/>
  </w:num>
  <w:num w:numId="10">
    <w:abstractNumId w:val="8"/>
  </w:num>
  <w:num w:numId="11">
    <w:abstractNumId w:val="7"/>
  </w:num>
  <w:num w:numId="12">
    <w:abstractNumId w:val="21"/>
  </w:num>
  <w:num w:numId="13">
    <w:abstractNumId w:val="4"/>
  </w:num>
  <w:num w:numId="14">
    <w:abstractNumId w:val="12"/>
  </w:num>
  <w:num w:numId="15">
    <w:abstractNumId w:val="20"/>
  </w:num>
  <w:num w:numId="16">
    <w:abstractNumId w:val="14"/>
  </w:num>
  <w:num w:numId="17">
    <w:abstractNumId w:val="2"/>
  </w:num>
  <w:num w:numId="18">
    <w:abstractNumId w:val="9"/>
  </w:num>
  <w:num w:numId="19">
    <w:abstractNumId w:val="10"/>
  </w:num>
  <w:num w:numId="20">
    <w:abstractNumId w:val="15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4E"/>
    <w:rsid w:val="001177FD"/>
    <w:rsid w:val="0018341C"/>
    <w:rsid w:val="00222B00"/>
    <w:rsid w:val="002826FA"/>
    <w:rsid w:val="002B00E6"/>
    <w:rsid w:val="002E1850"/>
    <w:rsid w:val="00395FBD"/>
    <w:rsid w:val="00444B69"/>
    <w:rsid w:val="0066738D"/>
    <w:rsid w:val="007F5E76"/>
    <w:rsid w:val="009B3B42"/>
    <w:rsid w:val="009F4191"/>
    <w:rsid w:val="00A817E5"/>
    <w:rsid w:val="00AB514E"/>
    <w:rsid w:val="00B701D1"/>
    <w:rsid w:val="00BC68B7"/>
    <w:rsid w:val="00CB6489"/>
    <w:rsid w:val="00D638A4"/>
    <w:rsid w:val="00E84F0D"/>
    <w:rsid w:val="00F0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85AC"/>
  <w15:docId w15:val="{0B0478D6-1CFB-45CF-B15C-1398CADC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eastAsia="Calibri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3">
    <w:name w:val="Нижний колонтитул Знак1"/>
    <w:link w:val="aa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qFormat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"/>
    <w:next w:val="a"/>
    <w:uiPriority w:val="99"/>
    <w:unhideWhenUsed/>
    <w:qFormat/>
  </w:style>
  <w:style w:type="character" w:customStyle="1" w:styleId="10">
    <w:name w:val="Заголовок 1 Знак"/>
    <w:link w:val="1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2 Знак1"/>
    <w:link w:val="25"/>
    <w:uiPriority w:val="99"/>
    <w:qFormat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4">
    <w:name w:val="Текст выноски Знак"/>
    <w:uiPriority w:val="99"/>
    <w:semiHidden/>
    <w:qFormat/>
    <w:rPr>
      <w:rFonts w:ascii="Tahoma" w:hAnsi="Tahoma" w:cs="Tahoma"/>
      <w:sz w:val="16"/>
      <w:szCs w:val="16"/>
      <w:lang w:eastAsia="ru-RU"/>
    </w:rPr>
  </w:style>
  <w:style w:type="character" w:customStyle="1" w:styleId="af5">
    <w:name w:val="Верхний колонтитул Знак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af6">
    <w:name w:val="Нижний колонтитул Знак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ной текст Знак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ной текст с отступом Знак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af9">
    <w:name w:val="Название Знак"/>
    <w:uiPriority w:val="10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6">
    <w:name w:val="Основной текст 2 Знак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40">
    <w:name w:val="Заголовок 4 Знак"/>
    <w:link w:val="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styleId="afa">
    <w:name w:val="page number"/>
    <w:uiPriority w:val="99"/>
    <w:qFormat/>
  </w:style>
  <w:style w:type="character" w:customStyle="1" w:styleId="afb">
    <w:name w:val="Абзац списка Знак"/>
    <w:uiPriority w:val="34"/>
    <w:qFormat/>
    <w:rPr>
      <w:sz w:val="22"/>
      <w:szCs w:val="22"/>
      <w:lang w:eastAsia="en-US"/>
    </w:rPr>
  </w:style>
  <w:style w:type="character" w:customStyle="1" w:styleId="section-title">
    <w:name w:val="section-title"/>
    <w:basedOn w:val="a0"/>
    <w:qFormat/>
  </w:style>
  <w:style w:type="character" w:customStyle="1" w:styleId="HTML">
    <w:name w:val="Стандартный HTML Знак"/>
    <w:basedOn w:val="a0"/>
    <w:uiPriority w:val="99"/>
    <w:semiHidden/>
    <w:qFormat/>
    <w:rPr>
      <w:rFonts w:ascii="Courier New" w:eastAsia="Times New Roman" w:hAnsi="Courier New" w:cs="Courier New"/>
    </w:rPr>
  </w:style>
  <w:style w:type="paragraph" w:customStyle="1" w:styleId="15">
    <w:name w:val="Заголовок1"/>
    <w:basedOn w:val="a"/>
    <w:next w:val="afc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link w:val="16"/>
    <w:uiPriority w:val="99"/>
    <w:qFormat/>
    <w:pPr>
      <w:spacing w:after="120"/>
    </w:pPr>
  </w:style>
  <w:style w:type="paragraph" w:styleId="afd">
    <w:name w:val="List"/>
    <w:basedOn w:val="afc"/>
    <w:uiPriority w:val="99"/>
    <w:qFormat/>
    <w:rPr>
      <w:rFonts w:cs="Arial"/>
    </w:rPr>
  </w:style>
  <w:style w:type="paragraph" w:styleId="afe">
    <w:name w:val="caption"/>
    <w:basedOn w:val="a"/>
    <w:uiPriority w:val="99"/>
    <w:qFormat/>
    <w:pPr>
      <w:suppressLineNumbers/>
      <w:spacing w:before="120" w:after="120"/>
    </w:pPr>
    <w:rPr>
      <w:rFonts w:cs="Arial"/>
      <w:i/>
      <w:iCs/>
    </w:rPr>
  </w:style>
  <w:style w:type="paragraph" w:styleId="aff">
    <w:name w:val="index heading"/>
    <w:basedOn w:val="a"/>
    <w:uiPriority w:val="99"/>
    <w:qFormat/>
    <w:pPr>
      <w:suppressLineNumbers/>
    </w:pPr>
    <w:rPr>
      <w:rFonts w:cs="Arial"/>
    </w:rPr>
  </w:style>
  <w:style w:type="paragraph" w:styleId="aff0">
    <w:name w:val="Balloon Text"/>
    <w:basedOn w:val="a"/>
    <w:link w:val="17"/>
    <w:uiPriority w:val="99"/>
    <w:semiHidden/>
    <w:qFormat/>
    <w:rPr>
      <w:rFonts w:ascii="Tahoma" w:eastAsia="Calibri" w:hAnsi="Tahoma"/>
      <w:sz w:val="16"/>
      <w:szCs w:val="16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2">
    <w:name w:val="Верхний и нижний колонтитулы"/>
    <w:basedOn w:val="a"/>
    <w:uiPriority w:val="99"/>
    <w:qFormat/>
  </w:style>
  <w:style w:type="paragraph" w:styleId="a9">
    <w:name w:val="header"/>
    <w:basedOn w:val="a"/>
    <w:link w:val="12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13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aff3">
    <w:name w:val="Знак"/>
    <w:basedOn w:val="a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pPr>
      <w:ind w:firstLine="720"/>
    </w:pPr>
    <w:rPr>
      <w:rFonts w:ascii="Arial" w:eastAsia="Times New Roman" w:hAnsi="Arial" w:cs="Arial"/>
      <w:sz w:val="24"/>
    </w:rPr>
  </w:style>
  <w:style w:type="paragraph" w:customStyle="1" w:styleId="rvps698610">
    <w:name w:val="rvps698610"/>
    <w:basedOn w:val="a"/>
    <w:uiPriority w:val="99"/>
    <w:qFormat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customStyle="1" w:styleId="aff4">
    <w:name w:val="МОН"/>
    <w:basedOn w:val="a"/>
    <w:uiPriority w:val="99"/>
    <w:qFormat/>
    <w:pPr>
      <w:spacing w:line="360" w:lineRule="auto"/>
      <w:ind w:firstLine="709"/>
      <w:jc w:val="both"/>
    </w:pPr>
    <w:rPr>
      <w:rFonts w:ascii="Calibri" w:hAnsi="Calibri"/>
      <w:sz w:val="28"/>
      <w:szCs w:val="28"/>
    </w:rPr>
  </w:style>
  <w:style w:type="paragraph" w:customStyle="1" w:styleId="Default">
    <w:name w:val="Default"/>
    <w:uiPriority w:val="99"/>
    <w:qFormat/>
    <w:rPr>
      <w:rFonts w:ascii="Arial" w:eastAsia="Times New Roman" w:hAnsi="Arial" w:cs="Arial"/>
      <w:color w:val="000000"/>
      <w:sz w:val="24"/>
      <w:szCs w:val="24"/>
    </w:rPr>
  </w:style>
  <w:style w:type="paragraph" w:styleId="aff5">
    <w:name w:val="Body Text Indent"/>
    <w:basedOn w:val="a"/>
    <w:link w:val="18"/>
    <w:uiPriority w:val="99"/>
    <w:semiHidden/>
    <w:unhideWhenUsed/>
    <w:qFormat/>
    <w:pPr>
      <w:spacing w:after="120"/>
      <w:ind w:left="283"/>
    </w:pPr>
  </w:style>
  <w:style w:type="paragraph" w:styleId="a4">
    <w:name w:val="Title"/>
    <w:basedOn w:val="a"/>
    <w:link w:val="a3"/>
    <w:uiPriority w:val="10"/>
    <w:qFormat/>
    <w:pPr>
      <w:jc w:val="center"/>
    </w:pPr>
    <w:rPr>
      <w:b/>
      <w:bCs/>
      <w:sz w:val="28"/>
    </w:rPr>
  </w:style>
  <w:style w:type="paragraph" w:customStyle="1" w:styleId="aff6">
    <w:name w:val="Îñíîâíîé òåêñò"/>
    <w:basedOn w:val="a"/>
    <w:uiPriority w:val="99"/>
    <w:qFormat/>
    <w:pPr>
      <w:widowControl w:val="0"/>
      <w:jc w:val="both"/>
    </w:pPr>
    <w:rPr>
      <w:sz w:val="28"/>
      <w:szCs w:val="20"/>
    </w:rPr>
  </w:style>
  <w:style w:type="paragraph" w:styleId="aff7">
    <w:name w:val="No Spacing"/>
    <w:uiPriority w:val="99"/>
    <w:qFormat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="Times New Roman" w:hAnsi="Courier New" w:cs="Courier New"/>
      <w:sz w:val="24"/>
    </w:rPr>
  </w:style>
  <w:style w:type="paragraph" w:customStyle="1" w:styleId="19">
    <w:name w:val="Абзац списка1"/>
    <w:basedOn w:val="a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Body Text 2"/>
    <w:basedOn w:val="a"/>
    <w:link w:val="211"/>
    <w:uiPriority w:val="99"/>
    <w:semiHidden/>
    <w:unhideWhenUsed/>
    <w:qFormat/>
    <w:pPr>
      <w:spacing w:after="120" w:line="480" w:lineRule="auto"/>
    </w:pPr>
  </w:style>
  <w:style w:type="paragraph" w:customStyle="1" w:styleId="ListParagraph1">
    <w:name w:val="List Paragraph1"/>
    <w:basedOn w:val="a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f8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Body">
    <w:name w:val="Body"/>
    <w:basedOn w:val="a"/>
    <w:uiPriority w:val="99"/>
    <w:qFormat/>
    <w:pPr>
      <w:spacing w:line="360" w:lineRule="atLeast"/>
      <w:ind w:left="284" w:firstLine="851"/>
      <w:jc w:val="both"/>
    </w:pPr>
    <w:rPr>
      <w:rFonts w:ascii="Pragmatica" w:hAnsi="Pragmatica"/>
      <w:szCs w:val="20"/>
    </w:rPr>
  </w:style>
  <w:style w:type="paragraph" w:customStyle="1" w:styleId="Title3412211311111121">
    <w:name w:val="Title3412211311111121"/>
    <w:basedOn w:val="a"/>
    <w:uiPriority w:val="99"/>
    <w:qFormat/>
    <w:pPr>
      <w:jc w:val="center"/>
    </w:pPr>
    <w:rPr>
      <w:rFonts w:ascii="Arial" w:hAnsi="Arial"/>
      <w:b/>
      <w:caps/>
      <w:sz w:val="28"/>
      <w:szCs w:val="20"/>
    </w:r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BodyTextKeep">
    <w:name w:val="Body Text Keep"/>
    <w:basedOn w:val="afc"/>
    <w:uiPriority w:val="99"/>
    <w:qFormat/>
    <w:pPr>
      <w:spacing w:before="120"/>
      <w:jc w:val="both"/>
    </w:pPr>
    <w:rPr>
      <w:spacing w:val="-5"/>
      <w:lang w:eastAsia="en-US"/>
    </w:rPr>
  </w:style>
  <w:style w:type="paragraph" w:customStyle="1" w:styleId="140">
    <w:name w:val="Обычный + 14 пт"/>
    <w:basedOn w:val="a"/>
    <w:uiPriority w:val="99"/>
    <w:qFormat/>
    <w:pPr>
      <w:spacing w:line="276" w:lineRule="auto"/>
      <w:ind w:firstLine="708"/>
      <w:jc w:val="both"/>
    </w:pPr>
    <w:rPr>
      <w:sz w:val="28"/>
      <w:szCs w:val="28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HTML0">
    <w:name w:val="HTML Preformatted"/>
    <w:basedOn w:val="a"/>
    <w:link w:val="HTML1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numbering" w:customStyle="1" w:styleId="1a">
    <w:name w:val="Нет списка1"/>
    <w:uiPriority w:val="99"/>
    <w:semiHidden/>
    <w:unhideWhenUsed/>
    <w:qFormat/>
  </w:style>
  <w:style w:type="table" w:styleId="af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b">
    <w:name w:val="annotation text"/>
    <w:basedOn w:val="a"/>
    <w:link w:val="affc"/>
    <w:uiPriority w:val="99"/>
    <w:semiHidden/>
    <w:unhideWhenUsed/>
    <w:qFormat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semiHidden/>
    <w:rPr>
      <w:rFonts w:ascii="Times New Roman" w:eastAsia="Times New Roman" w:hAnsi="Times New Roman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qFormat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Pr>
      <w:rFonts w:ascii="Times New Roman" w:eastAsia="Times New Roman" w:hAnsi="Times New Roman"/>
      <w:b/>
      <w:bCs/>
    </w:rPr>
  </w:style>
  <w:style w:type="character" w:customStyle="1" w:styleId="afff">
    <w:name w:val="Основной текст_"/>
    <w:basedOn w:val="a0"/>
    <w:qFormat/>
    <w:rPr>
      <w:spacing w:val="-4"/>
      <w:shd w:val="clear" w:color="auto" w:fill="FFFFFF"/>
    </w:rPr>
  </w:style>
  <w:style w:type="paragraph" w:customStyle="1" w:styleId="1c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Arial"/>
      <w:sz w:val="22"/>
      <w:szCs w:val="22"/>
      <w:lang w:eastAsia="en-US"/>
    </w:rPr>
  </w:style>
  <w:style w:type="character" w:styleId="afff0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d">
    <w:name w:val="index 1"/>
    <w:basedOn w:val="a"/>
    <w:next w:val="a"/>
    <w:uiPriority w:val="99"/>
    <w:semiHidden/>
    <w:unhideWhenUsed/>
    <w:qFormat/>
    <w:pPr>
      <w:ind w:left="240" w:hanging="240"/>
    </w:pPr>
  </w:style>
  <w:style w:type="character" w:customStyle="1" w:styleId="16">
    <w:name w:val="Основной текст Знак1"/>
    <w:basedOn w:val="a0"/>
    <w:link w:val="afc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17">
    <w:name w:val="Текст выноски Знак1"/>
    <w:basedOn w:val="a0"/>
    <w:link w:val="aff0"/>
    <w:uiPriority w:val="99"/>
    <w:semiHidden/>
    <w:rPr>
      <w:rFonts w:ascii="Tahoma" w:hAnsi="Tahoma"/>
      <w:sz w:val="16"/>
      <w:szCs w:val="16"/>
    </w:rPr>
  </w:style>
  <w:style w:type="character" w:customStyle="1" w:styleId="28">
    <w:name w:val="Верхний колонтитул Знак2"/>
    <w:basedOn w:val="a0"/>
    <w:uiPriority w:val="99"/>
    <w:semiHidden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29">
    <w:name w:val="Нижний колонтитул Знак2"/>
    <w:basedOn w:val="a0"/>
    <w:uiPriority w:val="99"/>
    <w:semiHidden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8">
    <w:name w:val="Основной текст с отступом Знак1"/>
    <w:basedOn w:val="a0"/>
    <w:link w:val="aff5"/>
    <w:uiPriority w:val="99"/>
    <w:semiHidden/>
    <w:rPr>
      <w:rFonts w:ascii="Times New Roman" w:eastAsia="Times New Roman" w:hAnsi="Times New Roman"/>
      <w:sz w:val="24"/>
      <w:szCs w:val="24"/>
    </w:rPr>
  </w:style>
  <w:style w:type="character" w:customStyle="1" w:styleId="2a">
    <w:name w:val="Название Знак2"/>
    <w:basedOn w:val="a0"/>
    <w:uiPriority w:val="10"/>
    <w:rPr>
      <w:rFonts w:asciiTheme="majorHAnsi" w:eastAsiaTheme="majorEastAsia" w:hAnsiTheme="majorHAnsi" w:cstheme="majorBidi" w:hint="default"/>
      <w:color w:val="17365D" w:themeColor="text2" w:themeShade="BF"/>
      <w:spacing w:val="5"/>
      <w:sz w:val="52"/>
      <w:szCs w:val="52"/>
    </w:rPr>
  </w:style>
  <w:style w:type="character" w:customStyle="1" w:styleId="220">
    <w:name w:val="Основной текст 2 Знак2"/>
    <w:basedOn w:val="a0"/>
    <w:uiPriority w:val="99"/>
    <w:semiHidden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dtGlobalColor w:val="ffffff"/>
  <w:SdtGlobalShowHighlight w:val="true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AB75E8B-C9B3-4E48-95B8-1A1C6F97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ХМАО</Company>
  <LinksUpToDate>false</LinksUpToDate>
  <CharactersWithSpaces>29651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Шаламова Ольга Владимировна</cp:lastModifiedBy>
  <cp:revision>15</cp:revision>
  <cp:lastPrinted>2024-11-17T15:54:00Z</cp:lastPrinted>
  <dcterms:created xsi:type="dcterms:W3CDTF">2024-11-15T11:57:00Z</dcterms:created>
  <dcterms:modified xsi:type="dcterms:W3CDTF">2024-11-18T14:39:00Z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Департамент строительства ХМАО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